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E48" w:rsidRDefault="00974E11" w:rsidP="00086E48">
      <w:pPr>
        <w:spacing w:after="0" w:line="240" w:lineRule="auto"/>
        <w:jc w:val="both"/>
        <w:rPr>
          <w:rFonts w:asciiTheme="majorHAnsi" w:hAnsiTheme="majorHAnsi" w:cstheme="majorHAnsi"/>
          <w:sz w:val="24"/>
          <w:szCs w:val="24"/>
        </w:rPr>
      </w:pPr>
      <w:r w:rsidRPr="00AA0224">
        <w:rPr>
          <w:rFonts w:asciiTheme="majorHAnsi" w:hAnsiTheme="majorHAnsi" w:cstheme="majorHAnsi"/>
          <w:sz w:val="24"/>
          <w:szCs w:val="24"/>
        </w:rPr>
        <w:t>3. EXTENSION OF THE RIGHT TO REIMBURSEMENT OF COMMISSIONS IN THE EMPLOYEE LOANS</w:t>
      </w:r>
    </w:p>
    <w:p w:rsidR="00086E48" w:rsidRDefault="00086E48" w:rsidP="00086E48">
      <w:pPr>
        <w:spacing w:after="0" w:line="240" w:lineRule="auto"/>
        <w:jc w:val="both"/>
        <w:rPr>
          <w:rFonts w:asciiTheme="majorHAnsi" w:hAnsiTheme="majorHAnsi" w:cstheme="majorHAnsi"/>
        </w:rPr>
      </w:pPr>
    </w:p>
    <w:p w:rsidR="0022440E" w:rsidRPr="00086E48" w:rsidRDefault="00086E48" w:rsidP="00086E48">
      <w:pPr>
        <w:spacing w:after="0" w:line="240" w:lineRule="auto"/>
        <w:jc w:val="both"/>
        <w:rPr>
          <w:rFonts w:asciiTheme="majorHAnsi" w:hAnsiTheme="majorHAnsi" w:cstheme="majorHAnsi"/>
          <w:sz w:val="24"/>
          <w:szCs w:val="24"/>
        </w:rPr>
      </w:pPr>
      <w:r w:rsidRPr="00086E48">
        <w:rPr>
          <w:rFonts w:asciiTheme="majorHAnsi" w:hAnsiTheme="majorHAnsi" w:cstheme="majorHAnsi"/>
          <w:sz w:val="24"/>
          <w:szCs w:val="24"/>
        </w:rPr>
        <w:t xml:space="preserve">The </w:t>
      </w:r>
      <w:r w:rsidR="00AA0224" w:rsidRPr="00086E48">
        <w:rPr>
          <w:rFonts w:asciiTheme="majorHAnsi" w:hAnsiTheme="majorHAnsi" w:cstheme="majorHAnsi"/>
          <w:sz w:val="24"/>
          <w:szCs w:val="24"/>
        </w:rPr>
        <w:t>claimant</w:t>
      </w:r>
      <w:r w:rsidR="00974E11" w:rsidRPr="00086E48">
        <w:rPr>
          <w:rFonts w:asciiTheme="majorHAnsi" w:hAnsiTheme="majorHAnsi" w:cstheme="majorHAnsi"/>
          <w:sz w:val="24"/>
          <w:szCs w:val="24"/>
        </w:rPr>
        <w:t xml:space="preserve"> </w:t>
      </w:r>
      <w:r w:rsidRPr="00086E48">
        <w:rPr>
          <w:rFonts w:asciiTheme="majorHAnsi" w:hAnsiTheme="majorHAnsi" w:cstheme="majorHAnsi"/>
          <w:sz w:val="24"/>
          <w:szCs w:val="24"/>
        </w:rPr>
        <w:t xml:space="preserve">is </w:t>
      </w:r>
      <w:r w:rsidRPr="00086E48">
        <w:rPr>
          <w:rFonts w:asciiTheme="majorHAnsi" w:hAnsiTheme="majorHAnsi" w:cstheme="majorHAnsi"/>
          <w:color w:val="19161C"/>
          <w:sz w:val="24"/>
          <w:szCs w:val="24"/>
        </w:rPr>
        <w:t>part of a credit agreement and</w:t>
      </w:r>
      <w:r w:rsidRPr="00086E48">
        <w:rPr>
          <w:rFonts w:asciiTheme="majorHAnsi" w:hAnsiTheme="majorHAnsi" w:cstheme="majorHAnsi"/>
          <w:sz w:val="24"/>
          <w:szCs w:val="24"/>
        </w:rPr>
        <w:t xml:space="preserve"> </w:t>
      </w:r>
      <w:r w:rsidR="00974E11" w:rsidRPr="00086E48">
        <w:rPr>
          <w:rFonts w:asciiTheme="majorHAnsi" w:hAnsiTheme="majorHAnsi" w:cstheme="majorHAnsi"/>
          <w:sz w:val="24"/>
          <w:szCs w:val="24"/>
        </w:rPr>
        <w:t xml:space="preserve">decides to </w:t>
      </w:r>
      <w:r w:rsidR="00EF0231" w:rsidRPr="00086E48">
        <w:rPr>
          <w:rFonts w:asciiTheme="majorHAnsi" w:hAnsiTheme="majorHAnsi" w:cstheme="majorHAnsi"/>
          <w:color w:val="19161C"/>
          <w:sz w:val="24"/>
          <w:szCs w:val="24"/>
        </w:rPr>
        <w:t xml:space="preserve">early repay </w:t>
      </w:r>
      <w:r w:rsidR="00974E11" w:rsidRPr="00086E48">
        <w:rPr>
          <w:rFonts w:asciiTheme="majorHAnsi" w:hAnsiTheme="majorHAnsi" w:cstheme="majorHAnsi"/>
          <w:sz w:val="24"/>
          <w:szCs w:val="24"/>
        </w:rPr>
        <w:t>the loan.</w:t>
      </w:r>
      <w:r w:rsidR="00F103B9" w:rsidRPr="00086E48">
        <w:rPr>
          <w:rFonts w:asciiTheme="majorHAnsi" w:hAnsiTheme="majorHAnsi" w:cstheme="majorHAnsi"/>
          <w:sz w:val="24"/>
          <w:szCs w:val="24"/>
        </w:rPr>
        <w:t xml:space="preserve"> </w:t>
      </w:r>
      <w:r w:rsidR="00974E11" w:rsidRPr="00086E48">
        <w:rPr>
          <w:rFonts w:asciiTheme="majorHAnsi" w:hAnsiTheme="majorHAnsi" w:cstheme="majorHAnsi"/>
          <w:sz w:val="24"/>
          <w:szCs w:val="24"/>
        </w:rPr>
        <w:t xml:space="preserve">Specifically, </w:t>
      </w:r>
      <w:r w:rsidR="00A724BD" w:rsidRPr="00086E48">
        <w:rPr>
          <w:rFonts w:asciiTheme="majorHAnsi" w:hAnsiTheme="majorHAnsi" w:cstheme="majorHAnsi"/>
          <w:sz w:val="24"/>
          <w:szCs w:val="24"/>
        </w:rPr>
        <w:t xml:space="preserve">he discharge his obligations </w:t>
      </w:r>
      <w:r w:rsidR="00974E11" w:rsidRPr="00086E48">
        <w:rPr>
          <w:rFonts w:asciiTheme="majorHAnsi" w:hAnsiTheme="majorHAnsi" w:cstheme="majorHAnsi"/>
          <w:sz w:val="24"/>
          <w:szCs w:val="24"/>
        </w:rPr>
        <w:t xml:space="preserve">on 10.12.2019 </w:t>
      </w:r>
      <w:r w:rsidR="00A724BD" w:rsidRPr="00086E48">
        <w:rPr>
          <w:rFonts w:asciiTheme="majorHAnsi" w:hAnsiTheme="majorHAnsi" w:cstheme="majorHAnsi"/>
          <w:sz w:val="24"/>
          <w:szCs w:val="24"/>
        </w:rPr>
        <w:t xml:space="preserve">while </w:t>
      </w:r>
      <w:r w:rsidR="00A724BD" w:rsidRPr="00A724BD">
        <w:rPr>
          <w:rFonts w:asciiTheme="majorHAnsi" w:eastAsia="Times New Roman" w:hAnsiTheme="majorHAnsi" w:cstheme="majorHAnsi"/>
          <w:sz w:val="24"/>
          <w:szCs w:val="24"/>
          <w:lang w:eastAsia="it-IT"/>
        </w:rPr>
        <w:t xml:space="preserve">the time fixed by the agreement </w:t>
      </w:r>
      <w:r w:rsidR="00A724BD" w:rsidRPr="00086E48">
        <w:rPr>
          <w:rFonts w:asciiTheme="majorHAnsi" w:hAnsiTheme="majorHAnsi" w:cstheme="majorHAnsi"/>
          <w:sz w:val="24"/>
          <w:szCs w:val="24"/>
        </w:rPr>
        <w:t xml:space="preserve">was </w:t>
      </w:r>
      <w:r w:rsidR="00974E11" w:rsidRPr="00086E48">
        <w:rPr>
          <w:rFonts w:asciiTheme="majorHAnsi" w:hAnsiTheme="majorHAnsi" w:cstheme="majorHAnsi"/>
          <w:sz w:val="24"/>
          <w:szCs w:val="24"/>
        </w:rPr>
        <w:t>May 2022.</w:t>
      </w:r>
      <w:r w:rsidR="00EF0231" w:rsidRPr="00086E48">
        <w:rPr>
          <w:rFonts w:asciiTheme="majorHAnsi" w:hAnsiTheme="majorHAnsi" w:cstheme="majorHAnsi"/>
          <w:sz w:val="24"/>
          <w:szCs w:val="24"/>
        </w:rPr>
        <w:t xml:space="preserve"> </w:t>
      </w:r>
      <w:r w:rsidR="00974E11" w:rsidRPr="00086E48">
        <w:rPr>
          <w:rFonts w:asciiTheme="majorHAnsi" w:hAnsiTheme="majorHAnsi" w:cstheme="majorHAnsi"/>
          <w:sz w:val="24"/>
          <w:szCs w:val="24"/>
        </w:rPr>
        <w:t xml:space="preserve">Following this early repayment, the financing bank </w:t>
      </w:r>
      <w:r w:rsidR="00E84779" w:rsidRPr="00086E48">
        <w:rPr>
          <w:rFonts w:asciiTheme="majorHAnsi" w:hAnsiTheme="majorHAnsi" w:cstheme="majorHAnsi"/>
          <w:sz w:val="24"/>
          <w:szCs w:val="24"/>
        </w:rPr>
        <w:t xml:space="preserve">reimburse </w:t>
      </w:r>
      <w:r w:rsidR="00974E11" w:rsidRPr="00086E48">
        <w:rPr>
          <w:rFonts w:asciiTheme="majorHAnsi" w:hAnsiTheme="majorHAnsi" w:cstheme="majorHAnsi"/>
          <w:sz w:val="24"/>
          <w:szCs w:val="24"/>
        </w:rPr>
        <w:t xml:space="preserve">the exponent the sum of € 945.24 as </w:t>
      </w:r>
      <w:r w:rsidR="00E84779" w:rsidRPr="00086E48">
        <w:rPr>
          <w:rFonts w:asciiTheme="majorHAnsi" w:hAnsiTheme="majorHAnsi" w:cstheme="majorHAnsi"/>
          <w:sz w:val="24"/>
          <w:szCs w:val="24"/>
        </w:rPr>
        <w:t>part of the amount of the commissions paid by the consumer</w:t>
      </w:r>
      <w:r w:rsidR="0022440E" w:rsidRPr="00086E48">
        <w:rPr>
          <w:rFonts w:asciiTheme="majorHAnsi" w:hAnsiTheme="majorHAnsi" w:cstheme="majorHAnsi"/>
          <w:sz w:val="24"/>
          <w:szCs w:val="24"/>
        </w:rPr>
        <w:t xml:space="preserve">. </w:t>
      </w:r>
    </w:p>
    <w:p w:rsidR="0022440E" w:rsidRPr="00AA0224" w:rsidRDefault="00974E11" w:rsidP="0022440E">
      <w:pPr>
        <w:pStyle w:val="NormaleWeb"/>
        <w:contextualSpacing/>
        <w:jc w:val="both"/>
        <w:rPr>
          <w:rFonts w:asciiTheme="majorHAnsi" w:hAnsiTheme="majorHAnsi" w:cstheme="majorHAnsi"/>
        </w:rPr>
      </w:pPr>
      <w:r w:rsidRPr="00AA0224">
        <w:rPr>
          <w:rFonts w:asciiTheme="majorHAnsi" w:hAnsiTheme="majorHAnsi" w:cstheme="majorHAnsi"/>
        </w:rPr>
        <w:t>The exponent</w:t>
      </w:r>
      <w:r w:rsidR="00784C3D">
        <w:rPr>
          <w:rFonts w:asciiTheme="majorHAnsi" w:hAnsiTheme="majorHAnsi" w:cstheme="majorHAnsi"/>
        </w:rPr>
        <w:t>m</w:t>
      </w:r>
      <w:r w:rsidRPr="00AA0224">
        <w:rPr>
          <w:rFonts w:asciiTheme="majorHAnsi" w:hAnsiTheme="majorHAnsi" w:cstheme="majorHAnsi"/>
        </w:rPr>
        <w:t xml:space="preserve"> however, expected the return of an additional amount of € 432.00 relating to </w:t>
      </w:r>
      <w:r w:rsidR="008A5DB2" w:rsidRPr="00AA0224">
        <w:rPr>
          <w:rFonts w:asciiTheme="majorHAnsi" w:hAnsiTheme="majorHAnsi" w:cstheme="majorHAnsi"/>
        </w:rPr>
        <w:t xml:space="preserve">costs which are not dependent on the duration of the contract  </w:t>
      </w:r>
      <w:r w:rsidRPr="00AA0224">
        <w:rPr>
          <w:rFonts w:asciiTheme="majorHAnsi" w:hAnsiTheme="majorHAnsi" w:cstheme="majorHAnsi"/>
        </w:rPr>
        <w:t xml:space="preserve">(so-called upfront costs).The Bank denied the repayment </w:t>
      </w:r>
      <w:r w:rsidR="00AA0224" w:rsidRPr="00AA0224">
        <w:rPr>
          <w:rFonts w:asciiTheme="majorHAnsi" w:hAnsiTheme="majorHAnsi" w:cstheme="majorHAnsi"/>
        </w:rPr>
        <w:t xml:space="preserve">claiming that the </w:t>
      </w:r>
      <w:r w:rsidR="0022440E" w:rsidRPr="00AA0224">
        <w:rPr>
          <w:rFonts w:asciiTheme="majorHAnsi" w:hAnsiTheme="majorHAnsi" w:cstheme="majorHAnsi"/>
        </w:rPr>
        <w:t xml:space="preserve">reduction in the total cost of the credit in the event of early repayment </w:t>
      </w:r>
      <w:r w:rsidR="00AA0224" w:rsidRPr="00AA0224">
        <w:rPr>
          <w:rFonts w:asciiTheme="majorHAnsi" w:hAnsiTheme="majorHAnsi" w:cstheme="majorHAnsi"/>
        </w:rPr>
        <w:t xml:space="preserve">does not </w:t>
      </w:r>
      <w:r w:rsidR="0022440E" w:rsidRPr="00AA0224">
        <w:rPr>
          <w:rFonts w:asciiTheme="majorHAnsi" w:hAnsiTheme="majorHAnsi" w:cstheme="majorHAnsi"/>
        </w:rPr>
        <w:t>concern</w:t>
      </w:r>
      <w:r w:rsidR="00AA0224" w:rsidRPr="00AA0224">
        <w:rPr>
          <w:rFonts w:asciiTheme="majorHAnsi" w:hAnsiTheme="majorHAnsi" w:cstheme="majorHAnsi"/>
        </w:rPr>
        <w:t xml:space="preserve"> </w:t>
      </w:r>
      <w:r w:rsidR="0022440E" w:rsidRPr="00AA0224">
        <w:rPr>
          <w:rFonts w:asciiTheme="majorHAnsi" w:hAnsiTheme="majorHAnsi" w:cstheme="majorHAnsi"/>
        </w:rPr>
        <w:t xml:space="preserve">costs which are not dependent on the duration of the contract. </w:t>
      </w:r>
    </w:p>
    <w:p w:rsidR="00E73BBC" w:rsidRDefault="00E73BBC" w:rsidP="0022440E">
      <w:pPr>
        <w:pStyle w:val="NormaleWeb"/>
        <w:contextualSpacing/>
        <w:jc w:val="both"/>
        <w:rPr>
          <w:rFonts w:asciiTheme="majorHAnsi" w:hAnsiTheme="majorHAnsi" w:cstheme="majorHAnsi"/>
        </w:rPr>
      </w:pPr>
    </w:p>
    <w:p w:rsidR="00F45CE9" w:rsidRPr="00672874" w:rsidRDefault="00F45CE9" w:rsidP="00F45CE9">
      <w:pPr>
        <w:spacing w:after="0" w:line="240" w:lineRule="auto"/>
        <w:jc w:val="both"/>
        <w:rPr>
          <w:rFonts w:asciiTheme="majorHAnsi" w:eastAsia="Times New Roman" w:hAnsiTheme="majorHAnsi" w:cs="Times New Roman"/>
          <w:sz w:val="24"/>
          <w:szCs w:val="24"/>
          <w:lang w:val="en-GB" w:eastAsia="it-IT"/>
        </w:rPr>
      </w:pPr>
    </w:p>
    <w:p w:rsidR="00F45CE9" w:rsidRPr="00672874" w:rsidRDefault="00F45CE9" w:rsidP="00F45CE9">
      <w:pPr>
        <w:pStyle w:val="NormaleWeb"/>
        <w:numPr>
          <w:ilvl w:val="0"/>
          <w:numId w:val="11"/>
        </w:numPr>
        <w:rPr>
          <w:rFonts w:asciiTheme="majorHAnsi" w:hAnsiTheme="majorHAnsi"/>
          <w:b/>
          <w:bCs/>
          <w:smallCaps/>
          <w:u w:val="single"/>
        </w:rPr>
      </w:pPr>
      <w:r w:rsidRPr="00672874">
        <w:rPr>
          <w:rFonts w:asciiTheme="majorHAnsi" w:hAnsiTheme="majorHAnsi" w:cs="Arial"/>
          <w:b/>
          <w:bCs/>
          <w:smallCaps/>
          <w:u w:val="single"/>
        </w:rPr>
        <w:t xml:space="preserve">verify if </w:t>
      </w:r>
      <w:r w:rsidRPr="00672874">
        <w:rPr>
          <w:rFonts w:asciiTheme="majorHAnsi" w:hAnsiTheme="majorHAnsi"/>
          <w:b/>
          <w:bCs/>
          <w:smallCaps/>
          <w:u w:val="single"/>
        </w:rPr>
        <w:t xml:space="preserve">the parties involved fall under the definition of “consumer” and “trader”: </w:t>
      </w:r>
    </w:p>
    <w:p w:rsidR="00F45CE9" w:rsidRPr="00672874" w:rsidRDefault="00F45CE9" w:rsidP="00F45CE9">
      <w:pPr>
        <w:pStyle w:val="NormaleWeb"/>
        <w:numPr>
          <w:ilvl w:val="0"/>
          <w:numId w:val="13"/>
        </w:numPr>
        <w:rPr>
          <w:rFonts w:asciiTheme="majorHAnsi" w:hAnsiTheme="majorHAnsi"/>
        </w:rPr>
      </w:pPr>
      <w:r w:rsidRPr="00672874">
        <w:rPr>
          <w:rFonts w:asciiTheme="majorHAnsi" w:hAnsiTheme="majorHAnsi"/>
        </w:rPr>
        <w:t>Art. 2, par. 1, n. 1, Dir. 2011/83: «any natural person who, in contracts covered by this Directive, is acting for purposes which are outside his trade, business, craft or profession» «</w:t>
      </w:r>
      <w:bookmarkStart w:id="0" w:name="_GoBack"/>
      <w:bookmarkEnd w:id="0"/>
      <w:r w:rsidRPr="00672874">
        <w:rPr>
          <w:rFonts w:asciiTheme="majorHAnsi" w:hAnsiTheme="majorHAnsi"/>
        </w:rPr>
        <w:t>any natural person or any legal person, irrespective of whether privately or publicly owned, who is acting, including through any other person acting in his name or on his behalf, for purposes relating to his trade, business, craft or profession in relation to contracts covered by this Directive».</w:t>
      </w:r>
    </w:p>
    <w:p w:rsidR="00F45CE9" w:rsidRPr="00672874" w:rsidRDefault="00F45CE9" w:rsidP="00F45CE9">
      <w:pPr>
        <w:spacing w:after="0" w:line="240" w:lineRule="auto"/>
        <w:jc w:val="both"/>
        <w:rPr>
          <w:rFonts w:asciiTheme="majorHAnsi" w:eastAsia="Times New Roman" w:hAnsiTheme="majorHAnsi" w:cs="Times New Roman"/>
          <w:sz w:val="24"/>
          <w:szCs w:val="24"/>
          <w:lang w:val="en-GB" w:eastAsia="it-IT"/>
        </w:rPr>
      </w:pPr>
    </w:p>
    <w:p w:rsidR="00F45CE9" w:rsidRPr="00672874" w:rsidRDefault="00F45CE9" w:rsidP="00F45CE9">
      <w:pPr>
        <w:pStyle w:val="NormaleWeb"/>
        <w:numPr>
          <w:ilvl w:val="0"/>
          <w:numId w:val="13"/>
        </w:numPr>
        <w:rPr>
          <w:rFonts w:asciiTheme="majorHAnsi" w:hAnsiTheme="majorHAnsi"/>
        </w:rPr>
      </w:pPr>
      <w:r w:rsidRPr="00672874">
        <w:rPr>
          <w:rFonts w:asciiTheme="majorHAnsi" w:hAnsiTheme="majorHAnsi"/>
          <w:i/>
        </w:rPr>
        <w:t>ratione personae</w:t>
      </w:r>
      <w:r w:rsidRPr="00672874">
        <w:rPr>
          <w:rFonts w:asciiTheme="majorHAnsi" w:hAnsiTheme="majorHAnsi"/>
          <w:iCs/>
        </w:rPr>
        <w:t xml:space="preserve">: </w:t>
      </w:r>
      <w:r w:rsidRPr="00672874">
        <w:rPr>
          <w:rFonts w:asciiTheme="majorHAnsi" w:hAnsiTheme="majorHAnsi"/>
        </w:rPr>
        <w:t xml:space="preserve">Can a company be regarded as a consumer?' </w:t>
      </w:r>
    </w:p>
    <w:p w:rsidR="00F45CE9" w:rsidRPr="00672874" w:rsidRDefault="00F45CE9" w:rsidP="00F45CE9">
      <w:pPr>
        <w:pStyle w:val="Paragrafoelenco"/>
        <w:numPr>
          <w:ilvl w:val="0"/>
          <w:numId w:val="12"/>
        </w:numPr>
        <w:spacing w:after="0" w:line="240" w:lineRule="auto"/>
        <w:jc w:val="both"/>
        <w:rPr>
          <w:rFonts w:asciiTheme="majorHAnsi" w:hAnsiTheme="majorHAnsi"/>
          <w:iCs/>
          <w:sz w:val="24"/>
          <w:szCs w:val="24"/>
        </w:rPr>
      </w:pPr>
      <w:r w:rsidRPr="00672874">
        <w:rPr>
          <w:rFonts w:asciiTheme="majorHAnsi" w:hAnsiTheme="majorHAnsi"/>
          <w:iCs/>
          <w:sz w:val="24"/>
          <w:szCs w:val="24"/>
        </w:rPr>
        <w:t xml:space="preserve">consumer must be interpreted as referring solely to natural persons. </w:t>
      </w:r>
    </w:p>
    <w:p w:rsidR="00F45CE9" w:rsidRPr="00672874" w:rsidRDefault="00F45CE9" w:rsidP="00F45CE9">
      <w:pPr>
        <w:pStyle w:val="Paragrafoelenco"/>
        <w:numPr>
          <w:ilvl w:val="0"/>
          <w:numId w:val="12"/>
        </w:numPr>
        <w:spacing w:after="0" w:line="240" w:lineRule="auto"/>
        <w:jc w:val="both"/>
        <w:rPr>
          <w:rFonts w:asciiTheme="majorHAnsi" w:eastAsia="Times New Roman" w:hAnsiTheme="majorHAnsi" w:cs="Times New Roman"/>
          <w:sz w:val="24"/>
          <w:szCs w:val="24"/>
          <w:lang w:val="en-GB" w:eastAsia="it-IT"/>
        </w:rPr>
      </w:pPr>
      <w:r w:rsidRPr="00672874">
        <w:rPr>
          <w:rFonts w:asciiTheme="majorHAnsi" w:hAnsiTheme="majorHAnsi"/>
          <w:sz w:val="24"/>
          <w:szCs w:val="24"/>
        </w:rPr>
        <w:t xml:space="preserve"> companies and association (even NGO) must be escluded </w:t>
      </w:r>
    </w:p>
    <w:p w:rsidR="00F45CE9" w:rsidRPr="00672874" w:rsidRDefault="00F45CE9" w:rsidP="00F45CE9">
      <w:pPr>
        <w:spacing w:after="0" w:line="240" w:lineRule="auto"/>
        <w:ind w:left="360"/>
        <w:jc w:val="both"/>
        <w:rPr>
          <w:rFonts w:asciiTheme="majorHAnsi" w:hAnsiTheme="majorHAnsi"/>
          <w:sz w:val="24"/>
          <w:szCs w:val="24"/>
        </w:rPr>
      </w:pPr>
      <w:r w:rsidRPr="00672874">
        <w:rPr>
          <w:rFonts w:asciiTheme="majorHAnsi" w:hAnsiTheme="majorHAnsi"/>
          <w:b/>
          <w:bCs/>
          <w:sz w:val="24"/>
          <w:szCs w:val="24"/>
        </w:rPr>
        <w:t>CGCE, C-541/99 and C-542/99</w:t>
      </w:r>
      <w:r w:rsidRPr="00672874">
        <w:rPr>
          <w:rFonts w:asciiTheme="majorHAnsi" w:hAnsiTheme="majorHAnsi"/>
          <w:sz w:val="24"/>
          <w:szCs w:val="24"/>
        </w:rPr>
        <w:t>: «It is thus clear from the wording of Article 2 of the Directive that a person other than a natural person who concludes a contract with a seller or supplier cannot be regarded as a consumer within the meaning of that provision»</w:t>
      </w:r>
    </w:p>
    <w:p w:rsidR="00F45CE9" w:rsidRPr="00672874" w:rsidRDefault="00F45CE9" w:rsidP="00F45CE9">
      <w:pPr>
        <w:spacing w:after="0" w:line="240" w:lineRule="auto"/>
        <w:ind w:left="360"/>
        <w:jc w:val="both"/>
        <w:rPr>
          <w:rStyle w:val="Rimandonotaapidipagina"/>
          <w:rFonts w:asciiTheme="majorHAnsi" w:hAnsiTheme="majorHAnsi"/>
          <w:b/>
          <w:bCs/>
          <w:sz w:val="24"/>
          <w:szCs w:val="24"/>
        </w:rPr>
      </w:pPr>
      <w:r w:rsidRPr="00672874">
        <w:rPr>
          <w:rFonts w:asciiTheme="majorHAnsi" w:hAnsiTheme="majorHAnsi"/>
          <w:b/>
          <w:bCs/>
          <w:sz w:val="24"/>
          <w:szCs w:val="24"/>
        </w:rPr>
        <w:t>CGCE, C-256/00, §26</w:t>
      </w:r>
    </w:p>
    <w:p w:rsidR="00F45CE9" w:rsidRPr="00672874" w:rsidRDefault="00F45CE9" w:rsidP="00F45CE9">
      <w:pPr>
        <w:pStyle w:val="Paragrafoelenco"/>
        <w:numPr>
          <w:ilvl w:val="0"/>
          <w:numId w:val="13"/>
        </w:numPr>
        <w:spacing w:after="0" w:line="240" w:lineRule="auto"/>
        <w:jc w:val="both"/>
        <w:rPr>
          <w:rFonts w:asciiTheme="majorHAnsi" w:eastAsia="Times New Roman" w:hAnsiTheme="majorHAnsi" w:cs="Times New Roman"/>
          <w:bCs/>
          <w:sz w:val="24"/>
          <w:szCs w:val="24"/>
          <w:lang w:eastAsia="it-IT"/>
        </w:rPr>
      </w:pPr>
      <w:r w:rsidRPr="00672874">
        <w:rPr>
          <w:rFonts w:asciiTheme="majorHAnsi" w:eastAsia="Times New Roman" w:hAnsiTheme="majorHAnsi" w:cs="Times New Roman"/>
          <w:bCs/>
          <w:i/>
          <w:sz w:val="24"/>
          <w:szCs w:val="24"/>
          <w:lang w:eastAsia="it-IT"/>
        </w:rPr>
        <w:t>ratione materiae</w:t>
      </w:r>
      <w:r w:rsidRPr="00672874">
        <w:rPr>
          <w:rFonts w:asciiTheme="majorHAnsi" w:eastAsia="Times New Roman" w:hAnsiTheme="majorHAnsi" w:cs="Times New Roman"/>
          <w:bCs/>
          <w:sz w:val="24"/>
          <w:szCs w:val="24"/>
          <w:lang w:eastAsia="it-IT"/>
        </w:rPr>
        <w:t>, private purpose</w:t>
      </w:r>
    </w:p>
    <w:p w:rsidR="00F45CE9" w:rsidRPr="00672874" w:rsidRDefault="00F45CE9" w:rsidP="00F45CE9">
      <w:pPr>
        <w:spacing w:after="0" w:line="240" w:lineRule="auto"/>
        <w:ind w:left="360"/>
        <w:jc w:val="both"/>
        <w:rPr>
          <w:rFonts w:asciiTheme="majorHAnsi" w:hAnsiTheme="majorHAnsi"/>
          <w:sz w:val="24"/>
          <w:szCs w:val="24"/>
        </w:rPr>
      </w:pPr>
      <w:r w:rsidRPr="00672874">
        <w:rPr>
          <w:rFonts w:asciiTheme="majorHAnsi" w:hAnsiTheme="majorHAnsi"/>
          <w:sz w:val="24"/>
          <w:szCs w:val="24"/>
        </w:rPr>
        <w:t>CGCE, C-269/95 «</w:t>
      </w:r>
      <w:r w:rsidRPr="00672874">
        <w:rPr>
          <w:rFonts w:asciiTheme="majorHAnsi" w:eastAsia="Times New Roman" w:hAnsiTheme="majorHAnsi" w:cs="Times New Roman"/>
          <w:sz w:val="24"/>
          <w:szCs w:val="24"/>
          <w:lang w:eastAsia="it-IT"/>
        </w:rPr>
        <w:t>i</w:t>
      </w:r>
      <w:r w:rsidRPr="00672874">
        <w:rPr>
          <w:rFonts w:asciiTheme="majorHAnsi" w:hAnsiTheme="majorHAnsi"/>
          <w:sz w:val="24"/>
          <w:szCs w:val="24"/>
        </w:rPr>
        <w:t>t follows from the foregoing that, in order to determine whether a person has the capacity of a consumer, a concept which must be strictly construed, reference must be made to the position of the person concerned in a particular contract, having regard to the nature and aim of that contract, and not to the subjective situation of the person concerned. As the Advocate General rightly observed in point 38 of his Opinion, the self-same person may be regarded as a consumer in relation to certain transactions and as an economic operator in relation to others» §16</w:t>
      </w:r>
    </w:p>
    <w:p w:rsidR="00F45CE9" w:rsidRPr="00672874" w:rsidRDefault="00F45CE9" w:rsidP="00F45CE9">
      <w:pPr>
        <w:spacing w:after="0" w:line="240" w:lineRule="auto"/>
        <w:ind w:left="360"/>
        <w:jc w:val="both"/>
        <w:rPr>
          <w:rFonts w:asciiTheme="majorHAnsi" w:hAnsiTheme="majorHAnsi"/>
          <w:sz w:val="24"/>
          <w:szCs w:val="24"/>
        </w:rPr>
      </w:pPr>
      <w:r w:rsidRPr="00672874">
        <w:rPr>
          <w:rFonts w:asciiTheme="majorHAnsi" w:hAnsiTheme="majorHAnsi"/>
          <w:sz w:val="24"/>
          <w:szCs w:val="24"/>
        </w:rPr>
        <w:t>«Consequently, only contracts concluded for the purpose of satisfying an individu</w:t>
      </w:r>
      <w:r w:rsidRPr="00672874">
        <w:rPr>
          <w:rFonts w:asciiTheme="majorHAnsi" w:hAnsiTheme="majorHAnsi"/>
          <w:sz w:val="24"/>
          <w:szCs w:val="24"/>
        </w:rPr>
        <w:softHyphen/>
        <w:t xml:space="preserve"> al's own needs in terms of private consumption come under the provisions designed to protect the consumer as the party deemed to be the weaker party eco</w:t>
      </w:r>
      <w:r w:rsidRPr="00672874">
        <w:rPr>
          <w:rFonts w:asciiTheme="majorHAnsi" w:hAnsiTheme="majorHAnsi"/>
          <w:sz w:val="24"/>
          <w:szCs w:val="24"/>
        </w:rPr>
        <w:softHyphen/>
        <w:t>nomically. The specific protection sought to be afforded by those provisions is unwarranted in the case of contracts for the purpose of trade or professional activ</w:t>
      </w:r>
      <w:r w:rsidRPr="00672874">
        <w:rPr>
          <w:rFonts w:asciiTheme="majorHAnsi" w:hAnsiTheme="majorHAnsi"/>
          <w:sz w:val="24"/>
          <w:szCs w:val="24"/>
        </w:rPr>
        <w:softHyphen/>
        <w:t xml:space="preserve"> ity, even if that activity is only planned for the future, since the fact that an activity is in the nature of a future activity does not divest it in any way of its trade or professional character» §17.</w:t>
      </w:r>
    </w:p>
    <w:p w:rsidR="00F45CE9" w:rsidRPr="00672874" w:rsidRDefault="00F45CE9" w:rsidP="00F45CE9">
      <w:pPr>
        <w:spacing w:after="0" w:line="240" w:lineRule="auto"/>
        <w:ind w:left="360"/>
        <w:jc w:val="both"/>
        <w:rPr>
          <w:rFonts w:asciiTheme="majorHAnsi" w:hAnsiTheme="majorHAnsi"/>
          <w:sz w:val="24"/>
          <w:szCs w:val="24"/>
        </w:rPr>
      </w:pPr>
    </w:p>
    <w:p w:rsidR="00F45CE9" w:rsidRPr="00672874" w:rsidRDefault="00F45CE9" w:rsidP="00F45CE9">
      <w:pPr>
        <w:spacing w:after="0" w:line="240" w:lineRule="auto"/>
        <w:ind w:left="360"/>
        <w:jc w:val="both"/>
        <w:rPr>
          <w:rFonts w:asciiTheme="majorHAnsi" w:hAnsiTheme="majorHAnsi"/>
          <w:sz w:val="24"/>
          <w:szCs w:val="24"/>
        </w:rPr>
      </w:pPr>
      <w:r w:rsidRPr="00672874">
        <w:rPr>
          <w:rFonts w:asciiTheme="majorHAnsi" w:hAnsiTheme="majorHAnsi"/>
          <w:sz w:val="24"/>
          <w:szCs w:val="24"/>
        </w:rPr>
        <w:t xml:space="preserve">CGCE, C-464/01: goods </w:t>
      </w:r>
      <w:r w:rsidRPr="00672874">
        <w:rPr>
          <w:rFonts w:asciiTheme="majorHAnsi" w:hAnsiTheme="majorHAnsi"/>
          <w:smallCaps/>
          <w:sz w:val="24"/>
          <w:szCs w:val="24"/>
        </w:rPr>
        <w:t>mainly</w:t>
      </w:r>
      <w:r w:rsidRPr="00672874">
        <w:rPr>
          <w:rFonts w:asciiTheme="majorHAnsi" w:hAnsiTheme="majorHAnsi"/>
          <w:sz w:val="24"/>
          <w:szCs w:val="24"/>
        </w:rPr>
        <w:t xml:space="preserve"> for business or for private purposes: in case of doubt, is a contract which may be attributed both to private and to trade or professional activity to be regarded as a consumer contract? </w:t>
      </w:r>
    </w:p>
    <w:p w:rsidR="00F45CE9" w:rsidRPr="00672874" w:rsidRDefault="00F45CE9" w:rsidP="00F45CE9">
      <w:pPr>
        <w:spacing w:after="0" w:line="240" w:lineRule="auto"/>
        <w:ind w:left="360"/>
        <w:jc w:val="both"/>
        <w:rPr>
          <w:rFonts w:asciiTheme="majorHAnsi" w:hAnsiTheme="majorHAnsi"/>
          <w:sz w:val="24"/>
          <w:szCs w:val="24"/>
        </w:rPr>
      </w:pPr>
      <w:r w:rsidRPr="00672874">
        <w:rPr>
          <w:rFonts w:asciiTheme="majorHAnsi" w:hAnsiTheme="majorHAnsi"/>
          <w:sz w:val="24"/>
          <w:szCs w:val="24"/>
        </w:rPr>
        <w:t xml:space="preserve">what criteria are to be applied in determining which of the private and the trade or professional purposes predominates? </w:t>
      </w:r>
    </w:p>
    <w:p w:rsidR="00F45CE9" w:rsidRPr="00672874" w:rsidRDefault="00F45CE9" w:rsidP="00F45CE9">
      <w:pPr>
        <w:spacing w:after="0" w:line="240" w:lineRule="auto"/>
        <w:ind w:left="360"/>
        <w:jc w:val="both"/>
        <w:rPr>
          <w:rFonts w:asciiTheme="majorHAnsi" w:hAnsiTheme="majorHAnsi"/>
          <w:sz w:val="24"/>
          <w:szCs w:val="24"/>
        </w:rPr>
      </w:pPr>
    </w:p>
    <w:p w:rsidR="00F45CE9" w:rsidRPr="00672874" w:rsidRDefault="00F45CE9" w:rsidP="00F45CE9">
      <w:pPr>
        <w:spacing w:after="0" w:line="240" w:lineRule="auto"/>
        <w:ind w:left="360"/>
        <w:jc w:val="both"/>
        <w:rPr>
          <w:rFonts w:asciiTheme="majorHAnsi" w:hAnsiTheme="majorHAnsi"/>
          <w:sz w:val="24"/>
          <w:szCs w:val="24"/>
        </w:rPr>
      </w:pPr>
    </w:p>
    <w:p w:rsidR="00F45CE9" w:rsidRPr="00672874" w:rsidRDefault="00F45CE9" w:rsidP="00F45CE9">
      <w:pPr>
        <w:spacing w:after="0" w:line="240" w:lineRule="auto"/>
        <w:ind w:left="360"/>
        <w:jc w:val="both"/>
        <w:rPr>
          <w:rFonts w:asciiTheme="majorHAnsi" w:eastAsia="Times New Roman" w:hAnsiTheme="majorHAnsi" w:cs="Times New Roman"/>
          <w:bCs/>
          <w:sz w:val="24"/>
          <w:szCs w:val="24"/>
          <w:lang w:eastAsia="it-IT"/>
        </w:rPr>
      </w:pPr>
    </w:p>
    <w:p w:rsidR="00F45CE9" w:rsidRPr="00672874" w:rsidRDefault="00F45CE9" w:rsidP="00F45CE9">
      <w:pPr>
        <w:spacing w:after="0" w:line="240" w:lineRule="auto"/>
        <w:jc w:val="both"/>
        <w:rPr>
          <w:rFonts w:asciiTheme="majorHAnsi" w:eastAsia="Times New Roman" w:hAnsiTheme="majorHAnsi" w:cs="Times New Roman"/>
          <w:sz w:val="24"/>
          <w:szCs w:val="24"/>
          <w:lang w:eastAsia="it-IT"/>
        </w:rPr>
      </w:pPr>
      <w:r w:rsidRPr="00672874">
        <w:rPr>
          <w:rFonts w:asciiTheme="majorHAnsi" w:eastAsia="Times New Roman" w:hAnsiTheme="majorHAnsi" w:cs="Times New Roman"/>
          <w:bCs/>
          <w:sz w:val="24"/>
          <w:szCs w:val="24"/>
          <w:lang w:eastAsia="it-IT"/>
        </w:rPr>
        <w:t>L’attuale orientamento interpretativo ricostruisce lo scopo in senso oggettivo e restrittivo, in base ad indagini sull’oggetto e il contenuto del contratto, le circostanze di tempo e luogo in cui l’atto viene posto in essere.</w:t>
      </w:r>
    </w:p>
    <w:p w:rsidR="00F45CE9" w:rsidRPr="00AA0224" w:rsidRDefault="00F45CE9" w:rsidP="0022440E">
      <w:pPr>
        <w:pStyle w:val="NormaleWeb"/>
        <w:contextualSpacing/>
        <w:jc w:val="both"/>
        <w:rPr>
          <w:rFonts w:asciiTheme="majorHAnsi" w:hAnsiTheme="majorHAnsi" w:cstheme="majorHAnsi"/>
        </w:rPr>
      </w:pPr>
    </w:p>
    <w:sectPr w:rsidR="00F45CE9" w:rsidRPr="00AA0224" w:rsidSect="008403B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563"/>
    <w:multiLevelType w:val="hybridMultilevel"/>
    <w:tmpl w:val="0372B01A"/>
    <w:lvl w:ilvl="0" w:tplc="D59EBDD4">
      <w:start w:val="1"/>
      <w:numFmt w:val="lowerLetter"/>
      <w:lvlText w:val="%1."/>
      <w:lvlJc w:val="left"/>
      <w:pPr>
        <w:ind w:left="720" w:hanging="360"/>
      </w:pPr>
      <w:rPr>
        <w:rFonts w:asciiTheme="minorHAnsi" w:eastAsiaTheme="minorHAnsi" w:hAnsiTheme="minorHAnsi" w:cstheme="minorBid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1B64AF"/>
    <w:multiLevelType w:val="multilevel"/>
    <w:tmpl w:val="D5F4AA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A7C05"/>
    <w:multiLevelType w:val="multilevel"/>
    <w:tmpl w:val="1E8404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F3423"/>
    <w:multiLevelType w:val="multilevel"/>
    <w:tmpl w:val="D3B44D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68D3"/>
    <w:multiLevelType w:val="multilevel"/>
    <w:tmpl w:val="D896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24E94"/>
    <w:multiLevelType w:val="hybridMultilevel"/>
    <w:tmpl w:val="49162646"/>
    <w:lvl w:ilvl="0" w:tplc="F2927058">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453C09"/>
    <w:multiLevelType w:val="multilevel"/>
    <w:tmpl w:val="B74211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166B2"/>
    <w:multiLevelType w:val="multilevel"/>
    <w:tmpl w:val="143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D4CA8"/>
    <w:multiLevelType w:val="multilevel"/>
    <w:tmpl w:val="0E262F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4F6ECB"/>
    <w:multiLevelType w:val="multilevel"/>
    <w:tmpl w:val="6A4682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D504E4"/>
    <w:multiLevelType w:val="multilevel"/>
    <w:tmpl w:val="B2E6AA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50AA0"/>
    <w:multiLevelType w:val="multilevel"/>
    <w:tmpl w:val="89B429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4E77B7"/>
    <w:multiLevelType w:val="multilevel"/>
    <w:tmpl w:val="ED1E4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10"/>
  </w:num>
  <w:num w:numId="5">
    <w:abstractNumId w:val="8"/>
  </w:num>
  <w:num w:numId="6">
    <w:abstractNumId w:val="9"/>
  </w:num>
  <w:num w:numId="7">
    <w:abstractNumId w:val="11"/>
  </w:num>
  <w:num w:numId="8">
    <w:abstractNumId w:val="1"/>
  </w:num>
  <w:num w:numId="9">
    <w:abstractNumId w:val="12"/>
  </w:num>
  <w:num w:numId="10">
    <w:abstractNumId w:val="2"/>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11"/>
    <w:rsid w:val="00086E48"/>
    <w:rsid w:val="00141989"/>
    <w:rsid w:val="001544C0"/>
    <w:rsid w:val="0022440E"/>
    <w:rsid w:val="005A3DA6"/>
    <w:rsid w:val="006548F9"/>
    <w:rsid w:val="00784C3D"/>
    <w:rsid w:val="008403B7"/>
    <w:rsid w:val="00885DB5"/>
    <w:rsid w:val="008A5DB2"/>
    <w:rsid w:val="00974E11"/>
    <w:rsid w:val="00A236DC"/>
    <w:rsid w:val="00A724BD"/>
    <w:rsid w:val="00AA0224"/>
    <w:rsid w:val="00B52821"/>
    <w:rsid w:val="00D40436"/>
    <w:rsid w:val="00E73BBC"/>
    <w:rsid w:val="00E84779"/>
    <w:rsid w:val="00EF0231"/>
    <w:rsid w:val="00F103B9"/>
    <w:rsid w:val="00F45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4C819F"/>
  <w15:chartTrackingRefBased/>
  <w15:docId w15:val="{8416FE79-66D5-F74A-B57E-3E7ABB3E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4E1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F02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86E4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86E48"/>
    <w:rPr>
      <w:rFonts w:ascii="Times New Roman" w:hAnsi="Times New Roman" w:cs="Times New Roman"/>
      <w:sz w:val="18"/>
      <w:szCs w:val="18"/>
    </w:rPr>
  </w:style>
  <w:style w:type="paragraph" w:styleId="Paragrafoelenco">
    <w:name w:val="List Paragraph"/>
    <w:basedOn w:val="Normale"/>
    <w:uiPriority w:val="34"/>
    <w:qFormat/>
    <w:rsid w:val="00F45CE9"/>
    <w:pPr>
      <w:ind w:left="720"/>
      <w:contextualSpacing/>
    </w:pPr>
  </w:style>
  <w:style w:type="character" w:styleId="Rimandonotaapidipagina">
    <w:name w:val="footnote reference"/>
    <w:basedOn w:val="Carpredefinitoparagrafo"/>
    <w:uiPriority w:val="99"/>
    <w:unhideWhenUsed/>
    <w:rsid w:val="00F45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506">
      <w:bodyDiv w:val="1"/>
      <w:marLeft w:val="0"/>
      <w:marRight w:val="0"/>
      <w:marTop w:val="0"/>
      <w:marBottom w:val="0"/>
      <w:divBdr>
        <w:top w:val="none" w:sz="0" w:space="0" w:color="auto"/>
        <w:left w:val="none" w:sz="0" w:space="0" w:color="auto"/>
        <w:bottom w:val="none" w:sz="0" w:space="0" w:color="auto"/>
        <w:right w:val="none" w:sz="0" w:space="0" w:color="auto"/>
      </w:divBdr>
      <w:divsChild>
        <w:div w:id="1513379359">
          <w:marLeft w:val="0"/>
          <w:marRight w:val="0"/>
          <w:marTop w:val="0"/>
          <w:marBottom w:val="0"/>
          <w:divBdr>
            <w:top w:val="none" w:sz="0" w:space="0" w:color="auto"/>
            <w:left w:val="none" w:sz="0" w:space="0" w:color="auto"/>
            <w:bottom w:val="none" w:sz="0" w:space="0" w:color="auto"/>
            <w:right w:val="none" w:sz="0" w:space="0" w:color="auto"/>
          </w:divBdr>
          <w:divsChild>
            <w:div w:id="1776362681">
              <w:marLeft w:val="0"/>
              <w:marRight w:val="0"/>
              <w:marTop w:val="0"/>
              <w:marBottom w:val="0"/>
              <w:divBdr>
                <w:top w:val="none" w:sz="0" w:space="0" w:color="auto"/>
                <w:left w:val="none" w:sz="0" w:space="0" w:color="auto"/>
                <w:bottom w:val="none" w:sz="0" w:space="0" w:color="auto"/>
                <w:right w:val="none" w:sz="0" w:space="0" w:color="auto"/>
              </w:divBdr>
              <w:divsChild>
                <w:div w:id="11932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8058">
      <w:bodyDiv w:val="1"/>
      <w:marLeft w:val="0"/>
      <w:marRight w:val="0"/>
      <w:marTop w:val="0"/>
      <w:marBottom w:val="0"/>
      <w:divBdr>
        <w:top w:val="none" w:sz="0" w:space="0" w:color="auto"/>
        <w:left w:val="none" w:sz="0" w:space="0" w:color="auto"/>
        <w:bottom w:val="none" w:sz="0" w:space="0" w:color="auto"/>
        <w:right w:val="none" w:sz="0" w:space="0" w:color="auto"/>
      </w:divBdr>
      <w:divsChild>
        <w:div w:id="1437485198">
          <w:marLeft w:val="0"/>
          <w:marRight w:val="0"/>
          <w:marTop w:val="0"/>
          <w:marBottom w:val="0"/>
          <w:divBdr>
            <w:top w:val="none" w:sz="0" w:space="0" w:color="auto"/>
            <w:left w:val="none" w:sz="0" w:space="0" w:color="auto"/>
            <w:bottom w:val="none" w:sz="0" w:space="0" w:color="auto"/>
            <w:right w:val="none" w:sz="0" w:space="0" w:color="auto"/>
          </w:divBdr>
          <w:divsChild>
            <w:div w:id="1450783917">
              <w:marLeft w:val="0"/>
              <w:marRight w:val="0"/>
              <w:marTop w:val="0"/>
              <w:marBottom w:val="0"/>
              <w:divBdr>
                <w:top w:val="none" w:sz="0" w:space="0" w:color="auto"/>
                <w:left w:val="none" w:sz="0" w:space="0" w:color="auto"/>
                <w:bottom w:val="none" w:sz="0" w:space="0" w:color="auto"/>
                <w:right w:val="none" w:sz="0" w:space="0" w:color="auto"/>
              </w:divBdr>
              <w:divsChild>
                <w:div w:id="1358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9258">
      <w:bodyDiv w:val="1"/>
      <w:marLeft w:val="0"/>
      <w:marRight w:val="0"/>
      <w:marTop w:val="0"/>
      <w:marBottom w:val="0"/>
      <w:divBdr>
        <w:top w:val="none" w:sz="0" w:space="0" w:color="auto"/>
        <w:left w:val="none" w:sz="0" w:space="0" w:color="auto"/>
        <w:bottom w:val="none" w:sz="0" w:space="0" w:color="auto"/>
        <w:right w:val="none" w:sz="0" w:space="0" w:color="auto"/>
      </w:divBdr>
      <w:divsChild>
        <w:div w:id="434330841">
          <w:marLeft w:val="0"/>
          <w:marRight w:val="0"/>
          <w:marTop w:val="0"/>
          <w:marBottom w:val="0"/>
          <w:divBdr>
            <w:top w:val="none" w:sz="0" w:space="0" w:color="auto"/>
            <w:left w:val="none" w:sz="0" w:space="0" w:color="auto"/>
            <w:bottom w:val="none" w:sz="0" w:space="0" w:color="auto"/>
            <w:right w:val="none" w:sz="0" w:space="0" w:color="auto"/>
          </w:divBdr>
          <w:divsChild>
            <w:div w:id="826213500">
              <w:marLeft w:val="0"/>
              <w:marRight w:val="0"/>
              <w:marTop w:val="0"/>
              <w:marBottom w:val="0"/>
              <w:divBdr>
                <w:top w:val="none" w:sz="0" w:space="0" w:color="auto"/>
                <w:left w:val="none" w:sz="0" w:space="0" w:color="auto"/>
                <w:bottom w:val="none" w:sz="0" w:space="0" w:color="auto"/>
                <w:right w:val="none" w:sz="0" w:space="0" w:color="auto"/>
              </w:divBdr>
              <w:divsChild>
                <w:div w:id="19099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4185">
      <w:bodyDiv w:val="1"/>
      <w:marLeft w:val="0"/>
      <w:marRight w:val="0"/>
      <w:marTop w:val="0"/>
      <w:marBottom w:val="0"/>
      <w:divBdr>
        <w:top w:val="none" w:sz="0" w:space="0" w:color="auto"/>
        <w:left w:val="none" w:sz="0" w:space="0" w:color="auto"/>
        <w:bottom w:val="none" w:sz="0" w:space="0" w:color="auto"/>
        <w:right w:val="none" w:sz="0" w:space="0" w:color="auto"/>
      </w:divBdr>
      <w:divsChild>
        <w:div w:id="860123531">
          <w:marLeft w:val="0"/>
          <w:marRight w:val="0"/>
          <w:marTop w:val="0"/>
          <w:marBottom w:val="0"/>
          <w:divBdr>
            <w:top w:val="none" w:sz="0" w:space="0" w:color="auto"/>
            <w:left w:val="none" w:sz="0" w:space="0" w:color="auto"/>
            <w:bottom w:val="none" w:sz="0" w:space="0" w:color="auto"/>
            <w:right w:val="none" w:sz="0" w:space="0" w:color="auto"/>
          </w:divBdr>
          <w:divsChild>
            <w:div w:id="1788156631">
              <w:marLeft w:val="0"/>
              <w:marRight w:val="0"/>
              <w:marTop w:val="0"/>
              <w:marBottom w:val="0"/>
              <w:divBdr>
                <w:top w:val="none" w:sz="0" w:space="0" w:color="auto"/>
                <w:left w:val="none" w:sz="0" w:space="0" w:color="auto"/>
                <w:bottom w:val="none" w:sz="0" w:space="0" w:color="auto"/>
                <w:right w:val="none" w:sz="0" w:space="0" w:color="auto"/>
              </w:divBdr>
              <w:divsChild>
                <w:div w:id="18298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4489">
      <w:bodyDiv w:val="1"/>
      <w:marLeft w:val="0"/>
      <w:marRight w:val="0"/>
      <w:marTop w:val="0"/>
      <w:marBottom w:val="0"/>
      <w:divBdr>
        <w:top w:val="none" w:sz="0" w:space="0" w:color="auto"/>
        <w:left w:val="none" w:sz="0" w:space="0" w:color="auto"/>
        <w:bottom w:val="none" w:sz="0" w:space="0" w:color="auto"/>
        <w:right w:val="none" w:sz="0" w:space="0" w:color="auto"/>
      </w:divBdr>
      <w:divsChild>
        <w:div w:id="1886677350">
          <w:marLeft w:val="0"/>
          <w:marRight w:val="0"/>
          <w:marTop w:val="0"/>
          <w:marBottom w:val="0"/>
          <w:divBdr>
            <w:top w:val="none" w:sz="0" w:space="0" w:color="auto"/>
            <w:left w:val="none" w:sz="0" w:space="0" w:color="auto"/>
            <w:bottom w:val="none" w:sz="0" w:space="0" w:color="auto"/>
            <w:right w:val="none" w:sz="0" w:space="0" w:color="auto"/>
          </w:divBdr>
          <w:divsChild>
            <w:div w:id="1732074599">
              <w:marLeft w:val="0"/>
              <w:marRight w:val="0"/>
              <w:marTop w:val="0"/>
              <w:marBottom w:val="0"/>
              <w:divBdr>
                <w:top w:val="none" w:sz="0" w:space="0" w:color="auto"/>
                <w:left w:val="none" w:sz="0" w:space="0" w:color="auto"/>
                <w:bottom w:val="none" w:sz="0" w:space="0" w:color="auto"/>
                <w:right w:val="none" w:sz="0" w:space="0" w:color="auto"/>
              </w:divBdr>
              <w:divsChild>
                <w:div w:id="18915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0587">
      <w:bodyDiv w:val="1"/>
      <w:marLeft w:val="0"/>
      <w:marRight w:val="0"/>
      <w:marTop w:val="0"/>
      <w:marBottom w:val="0"/>
      <w:divBdr>
        <w:top w:val="none" w:sz="0" w:space="0" w:color="auto"/>
        <w:left w:val="none" w:sz="0" w:space="0" w:color="auto"/>
        <w:bottom w:val="none" w:sz="0" w:space="0" w:color="auto"/>
        <w:right w:val="none" w:sz="0" w:space="0" w:color="auto"/>
      </w:divBdr>
      <w:divsChild>
        <w:div w:id="1570922824">
          <w:marLeft w:val="0"/>
          <w:marRight w:val="0"/>
          <w:marTop w:val="0"/>
          <w:marBottom w:val="0"/>
          <w:divBdr>
            <w:top w:val="none" w:sz="0" w:space="0" w:color="auto"/>
            <w:left w:val="none" w:sz="0" w:space="0" w:color="auto"/>
            <w:bottom w:val="none" w:sz="0" w:space="0" w:color="auto"/>
            <w:right w:val="none" w:sz="0" w:space="0" w:color="auto"/>
          </w:divBdr>
          <w:divsChild>
            <w:div w:id="1200242108">
              <w:marLeft w:val="0"/>
              <w:marRight w:val="0"/>
              <w:marTop w:val="0"/>
              <w:marBottom w:val="0"/>
              <w:divBdr>
                <w:top w:val="none" w:sz="0" w:space="0" w:color="auto"/>
                <w:left w:val="none" w:sz="0" w:space="0" w:color="auto"/>
                <w:bottom w:val="none" w:sz="0" w:space="0" w:color="auto"/>
                <w:right w:val="none" w:sz="0" w:space="0" w:color="auto"/>
              </w:divBdr>
              <w:divsChild>
                <w:div w:id="979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5419">
      <w:bodyDiv w:val="1"/>
      <w:marLeft w:val="0"/>
      <w:marRight w:val="0"/>
      <w:marTop w:val="0"/>
      <w:marBottom w:val="0"/>
      <w:divBdr>
        <w:top w:val="none" w:sz="0" w:space="0" w:color="auto"/>
        <w:left w:val="none" w:sz="0" w:space="0" w:color="auto"/>
        <w:bottom w:val="none" w:sz="0" w:space="0" w:color="auto"/>
        <w:right w:val="none" w:sz="0" w:space="0" w:color="auto"/>
      </w:divBdr>
      <w:divsChild>
        <w:div w:id="2035644582">
          <w:marLeft w:val="0"/>
          <w:marRight w:val="0"/>
          <w:marTop w:val="0"/>
          <w:marBottom w:val="0"/>
          <w:divBdr>
            <w:top w:val="none" w:sz="0" w:space="0" w:color="auto"/>
            <w:left w:val="none" w:sz="0" w:space="0" w:color="auto"/>
            <w:bottom w:val="none" w:sz="0" w:space="0" w:color="auto"/>
            <w:right w:val="none" w:sz="0" w:space="0" w:color="auto"/>
          </w:divBdr>
          <w:divsChild>
            <w:div w:id="1732927511">
              <w:marLeft w:val="0"/>
              <w:marRight w:val="0"/>
              <w:marTop w:val="0"/>
              <w:marBottom w:val="0"/>
              <w:divBdr>
                <w:top w:val="none" w:sz="0" w:space="0" w:color="auto"/>
                <w:left w:val="none" w:sz="0" w:space="0" w:color="auto"/>
                <w:bottom w:val="none" w:sz="0" w:space="0" w:color="auto"/>
                <w:right w:val="none" w:sz="0" w:space="0" w:color="auto"/>
              </w:divBdr>
              <w:divsChild>
                <w:div w:id="3456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8058">
      <w:bodyDiv w:val="1"/>
      <w:marLeft w:val="0"/>
      <w:marRight w:val="0"/>
      <w:marTop w:val="0"/>
      <w:marBottom w:val="0"/>
      <w:divBdr>
        <w:top w:val="none" w:sz="0" w:space="0" w:color="auto"/>
        <w:left w:val="none" w:sz="0" w:space="0" w:color="auto"/>
        <w:bottom w:val="none" w:sz="0" w:space="0" w:color="auto"/>
        <w:right w:val="none" w:sz="0" w:space="0" w:color="auto"/>
      </w:divBdr>
      <w:divsChild>
        <w:div w:id="1518150567">
          <w:marLeft w:val="0"/>
          <w:marRight w:val="0"/>
          <w:marTop w:val="0"/>
          <w:marBottom w:val="0"/>
          <w:divBdr>
            <w:top w:val="none" w:sz="0" w:space="0" w:color="auto"/>
            <w:left w:val="none" w:sz="0" w:space="0" w:color="auto"/>
            <w:bottom w:val="none" w:sz="0" w:space="0" w:color="auto"/>
            <w:right w:val="none" w:sz="0" w:space="0" w:color="auto"/>
          </w:divBdr>
          <w:divsChild>
            <w:div w:id="973488051">
              <w:marLeft w:val="0"/>
              <w:marRight w:val="0"/>
              <w:marTop w:val="0"/>
              <w:marBottom w:val="0"/>
              <w:divBdr>
                <w:top w:val="none" w:sz="0" w:space="0" w:color="auto"/>
                <w:left w:val="none" w:sz="0" w:space="0" w:color="auto"/>
                <w:bottom w:val="none" w:sz="0" w:space="0" w:color="auto"/>
                <w:right w:val="none" w:sz="0" w:space="0" w:color="auto"/>
              </w:divBdr>
              <w:divsChild>
                <w:div w:id="11608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6938">
      <w:bodyDiv w:val="1"/>
      <w:marLeft w:val="0"/>
      <w:marRight w:val="0"/>
      <w:marTop w:val="0"/>
      <w:marBottom w:val="0"/>
      <w:divBdr>
        <w:top w:val="none" w:sz="0" w:space="0" w:color="auto"/>
        <w:left w:val="none" w:sz="0" w:space="0" w:color="auto"/>
        <w:bottom w:val="none" w:sz="0" w:space="0" w:color="auto"/>
        <w:right w:val="none" w:sz="0" w:space="0" w:color="auto"/>
      </w:divBdr>
      <w:divsChild>
        <w:div w:id="1371104942">
          <w:marLeft w:val="0"/>
          <w:marRight w:val="0"/>
          <w:marTop w:val="0"/>
          <w:marBottom w:val="0"/>
          <w:divBdr>
            <w:top w:val="none" w:sz="0" w:space="0" w:color="auto"/>
            <w:left w:val="none" w:sz="0" w:space="0" w:color="auto"/>
            <w:bottom w:val="none" w:sz="0" w:space="0" w:color="auto"/>
            <w:right w:val="none" w:sz="0" w:space="0" w:color="auto"/>
          </w:divBdr>
          <w:divsChild>
            <w:div w:id="1798597972">
              <w:marLeft w:val="0"/>
              <w:marRight w:val="0"/>
              <w:marTop w:val="0"/>
              <w:marBottom w:val="0"/>
              <w:divBdr>
                <w:top w:val="none" w:sz="0" w:space="0" w:color="auto"/>
                <w:left w:val="none" w:sz="0" w:space="0" w:color="auto"/>
                <w:bottom w:val="none" w:sz="0" w:space="0" w:color="auto"/>
                <w:right w:val="none" w:sz="0" w:space="0" w:color="auto"/>
              </w:divBdr>
              <w:divsChild>
                <w:div w:id="20026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2886">
      <w:bodyDiv w:val="1"/>
      <w:marLeft w:val="0"/>
      <w:marRight w:val="0"/>
      <w:marTop w:val="0"/>
      <w:marBottom w:val="0"/>
      <w:divBdr>
        <w:top w:val="none" w:sz="0" w:space="0" w:color="auto"/>
        <w:left w:val="none" w:sz="0" w:space="0" w:color="auto"/>
        <w:bottom w:val="none" w:sz="0" w:space="0" w:color="auto"/>
        <w:right w:val="none" w:sz="0" w:space="0" w:color="auto"/>
      </w:divBdr>
      <w:divsChild>
        <w:div w:id="374503831">
          <w:marLeft w:val="0"/>
          <w:marRight w:val="0"/>
          <w:marTop w:val="0"/>
          <w:marBottom w:val="0"/>
          <w:divBdr>
            <w:top w:val="none" w:sz="0" w:space="0" w:color="auto"/>
            <w:left w:val="none" w:sz="0" w:space="0" w:color="auto"/>
            <w:bottom w:val="none" w:sz="0" w:space="0" w:color="auto"/>
            <w:right w:val="none" w:sz="0" w:space="0" w:color="auto"/>
          </w:divBdr>
          <w:divsChild>
            <w:div w:id="1359820681">
              <w:marLeft w:val="0"/>
              <w:marRight w:val="0"/>
              <w:marTop w:val="0"/>
              <w:marBottom w:val="0"/>
              <w:divBdr>
                <w:top w:val="none" w:sz="0" w:space="0" w:color="auto"/>
                <w:left w:val="none" w:sz="0" w:space="0" w:color="auto"/>
                <w:bottom w:val="none" w:sz="0" w:space="0" w:color="auto"/>
                <w:right w:val="none" w:sz="0" w:space="0" w:color="auto"/>
              </w:divBdr>
              <w:divsChild>
                <w:div w:id="20981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3157">
      <w:bodyDiv w:val="1"/>
      <w:marLeft w:val="0"/>
      <w:marRight w:val="0"/>
      <w:marTop w:val="0"/>
      <w:marBottom w:val="0"/>
      <w:divBdr>
        <w:top w:val="none" w:sz="0" w:space="0" w:color="auto"/>
        <w:left w:val="none" w:sz="0" w:space="0" w:color="auto"/>
        <w:bottom w:val="none" w:sz="0" w:space="0" w:color="auto"/>
        <w:right w:val="none" w:sz="0" w:space="0" w:color="auto"/>
      </w:divBdr>
      <w:divsChild>
        <w:div w:id="2104183001">
          <w:marLeft w:val="0"/>
          <w:marRight w:val="0"/>
          <w:marTop w:val="0"/>
          <w:marBottom w:val="0"/>
          <w:divBdr>
            <w:top w:val="none" w:sz="0" w:space="0" w:color="auto"/>
            <w:left w:val="none" w:sz="0" w:space="0" w:color="auto"/>
            <w:bottom w:val="none" w:sz="0" w:space="0" w:color="auto"/>
            <w:right w:val="none" w:sz="0" w:space="0" w:color="auto"/>
          </w:divBdr>
          <w:divsChild>
            <w:div w:id="896940409">
              <w:marLeft w:val="0"/>
              <w:marRight w:val="0"/>
              <w:marTop w:val="0"/>
              <w:marBottom w:val="0"/>
              <w:divBdr>
                <w:top w:val="none" w:sz="0" w:space="0" w:color="auto"/>
                <w:left w:val="none" w:sz="0" w:space="0" w:color="auto"/>
                <w:bottom w:val="none" w:sz="0" w:space="0" w:color="auto"/>
                <w:right w:val="none" w:sz="0" w:space="0" w:color="auto"/>
              </w:divBdr>
              <w:divsChild>
                <w:div w:id="15996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3229">
      <w:bodyDiv w:val="1"/>
      <w:marLeft w:val="0"/>
      <w:marRight w:val="0"/>
      <w:marTop w:val="0"/>
      <w:marBottom w:val="0"/>
      <w:divBdr>
        <w:top w:val="none" w:sz="0" w:space="0" w:color="auto"/>
        <w:left w:val="none" w:sz="0" w:space="0" w:color="auto"/>
        <w:bottom w:val="none" w:sz="0" w:space="0" w:color="auto"/>
        <w:right w:val="none" w:sz="0" w:space="0" w:color="auto"/>
      </w:divBdr>
      <w:divsChild>
        <w:div w:id="1880164458">
          <w:marLeft w:val="0"/>
          <w:marRight w:val="0"/>
          <w:marTop w:val="0"/>
          <w:marBottom w:val="0"/>
          <w:divBdr>
            <w:top w:val="none" w:sz="0" w:space="0" w:color="auto"/>
            <w:left w:val="none" w:sz="0" w:space="0" w:color="auto"/>
            <w:bottom w:val="none" w:sz="0" w:space="0" w:color="auto"/>
            <w:right w:val="none" w:sz="0" w:space="0" w:color="auto"/>
          </w:divBdr>
          <w:divsChild>
            <w:div w:id="993144655">
              <w:marLeft w:val="0"/>
              <w:marRight w:val="0"/>
              <w:marTop w:val="0"/>
              <w:marBottom w:val="0"/>
              <w:divBdr>
                <w:top w:val="none" w:sz="0" w:space="0" w:color="auto"/>
                <w:left w:val="none" w:sz="0" w:space="0" w:color="auto"/>
                <w:bottom w:val="none" w:sz="0" w:space="0" w:color="auto"/>
                <w:right w:val="none" w:sz="0" w:space="0" w:color="auto"/>
              </w:divBdr>
              <w:divsChild>
                <w:div w:id="19967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9231">
      <w:bodyDiv w:val="1"/>
      <w:marLeft w:val="0"/>
      <w:marRight w:val="0"/>
      <w:marTop w:val="0"/>
      <w:marBottom w:val="0"/>
      <w:divBdr>
        <w:top w:val="none" w:sz="0" w:space="0" w:color="auto"/>
        <w:left w:val="none" w:sz="0" w:space="0" w:color="auto"/>
        <w:bottom w:val="none" w:sz="0" w:space="0" w:color="auto"/>
        <w:right w:val="none" w:sz="0" w:space="0" w:color="auto"/>
      </w:divBdr>
      <w:divsChild>
        <w:div w:id="1500274243">
          <w:marLeft w:val="0"/>
          <w:marRight w:val="0"/>
          <w:marTop w:val="0"/>
          <w:marBottom w:val="0"/>
          <w:divBdr>
            <w:top w:val="none" w:sz="0" w:space="0" w:color="auto"/>
            <w:left w:val="none" w:sz="0" w:space="0" w:color="auto"/>
            <w:bottom w:val="none" w:sz="0" w:space="0" w:color="auto"/>
            <w:right w:val="none" w:sz="0" w:space="0" w:color="auto"/>
          </w:divBdr>
          <w:divsChild>
            <w:div w:id="1330449534">
              <w:marLeft w:val="0"/>
              <w:marRight w:val="0"/>
              <w:marTop w:val="0"/>
              <w:marBottom w:val="0"/>
              <w:divBdr>
                <w:top w:val="none" w:sz="0" w:space="0" w:color="auto"/>
                <w:left w:val="none" w:sz="0" w:space="0" w:color="auto"/>
                <w:bottom w:val="none" w:sz="0" w:space="0" w:color="auto"/>
                <w:right w:val="none" w:sz="0" w:space="0" w:color="auto"/>
              </w:divBdr>
              <w:divsChild>
                <w:div w:id="1775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543</Words>
  <Characters>3097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Paglietti</dc:creator>
  <cp:keywords/>
  <dc:description/>
  <cp:lastModifiedBy>Maria Cecilia Paglietti</cp:lastModifiedBy>
  <cp:revision>2</cp:revision>
  <dcterms:created xsi:type="dcterms:W3CDTF">2020-02-01T07:36:00Z</dcterms:created>
  <dcterms:modified xsi:type="dcterms:W3CDTF">2020-02-03T10:35:00Z</dcterms:modified>
</cp:coreProperties>
</file>