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A4" w:rsidRPr="00672874" w:rsidRDefault="008677A4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en-GB" w:eastAsia="it-IT"/>
        </w:rPr>
      </w:pPr>
      <w:r w:rsidRPr="00672874">
        <w:rPr>
          <w:rFonts w:asciiTheme="majorHAnsi" w:eastAsia="Times New Roman" w:hAnsiTheme="majorHAnsi" w:cs="Times New Roman"/>
          <w:b/>
          <w:sz w:val="24"/>
          <w:szCs w:val="24"/>
          <w:lang w:val="en-GB" w:eastAsia="it-IT"/>
        </w:rPr>
        <w:t xml:space="preserve">1. FRAUDULENT WITHDRAWALS </w:t>
      </w:r>
      <w:r w:rsidR="00506017" w:rsidRPr="00672874">
        <w:rPr>
          <w:rFonts w:asciiTheme="majorHAnsi" w:eastAsia="Times New Roman" w:hAnsiTheme="majorHAnsi" w:cs="Times New Roman"/>
          <w:b/>
          <w:sz w:val="24"/>
          <w:szCs w:val="24"/>
          <w:lang w:val="en-GB" w:eastAsia="it-IT"/>
        </w:rPr>
        <w:t xml:space="preserve">(Team 3, Tutor: Tommaso </w:t>
      </w:r>
      <w:proofErr w:type="spellStart"/>
      <w:r w:rsidR="00506017" w:rsidRPr="00672874">
        <w:rPr>
          <w:rFonts w:asciiTheme="majorHAnsi" w:eastAsia="Times New Roman" w:hAnsiTheme="majorHAnsi" w:cs="Times New Roman"/>
          <w:b/>
          <w:sz w:val="24"/>
          <w:szCs w:val="24"/>
          <w:lang w:val="en-GB" w:eastAsia="it-IT"/>
        </w:rPr>
        <w:t>Sica</w:t>
      </w:r>
      <w:proofErr w:type="spellEnd"/>
      <w:r w:rsidR="00506017" w:rsidRPr="00672874">
        <w:rPr>
          <w:rFonts w:asciiTheme="majorHAnsi" w:eastAsia="Times New Roman" w:hAnsiTheme="majorHAnsi" w:cs="Times New Roman"/>
          <w:b/>
          <w:sz w:val="24"/>
          <w:szCs w:val="24"/>
          <w:lang w:val="en-GB" w:eastAsia="it-IT"/>
        </w:rPr>
        <w:t>)</w:t>
      </w:r>
    </w:p>
    <w:p w:rsidR="00995242" w:rsidRPr="00672874" w:rsidRDefault="00995242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The holder of a</w:t>
      </w:r>
      <w:r w:rsidR="008677A4"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 bank</w:t>
      </w: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 account </w:t>
      </w:r>
      <w:r w:rsidR="00672874"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(owned by a company) </w:t>
      </w: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with the intermediary “BANK X” on 28.10.2019, around 6 pm, went to an ATM (Automated Teller Machine) of the same intermediary, to carry out the withdrawal operations.</w:t>
      </w:r>
    </w:p>
    <w:p w:rsidR="00995242" w:rsidRPr="00672874" w:rsidRDefault="00995242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proofErr w:type="spellStart"/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Withdrawed</w:t>
      </w:r>
      <w:proofErr w:type="spellEnd"/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 the sum of 250 Euros, he was unable to recover the card that was held by the ATM. </w:t>
      </w:r>
    </w:p>
    <w:p w:rsidR="00995242" w:rsidRPr="00672874" w:rsidRDefault="00995242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The exponent declare</w:t>
      </w:r>
      <w:r w:rsidR="000C05E7"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s </w:t>
      </w: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to have promptly tried to contact the toll-free number to proceed with the blocking of the card but, unable to speak to the operator, "decided to give up and provide for it later”.</w:t>
      </w:r>
    </w:p>
    <w:p w:rsidR="00995242" w:rsidRPr="00672874" w:rsidRDefault="00995242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A few days after the incident, by carrying out an online check on his </w:t>
      </w:r>
      <w:r w:rsidR="000C05E7"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bank </w:t>
      </w: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account, </w:t>
      </w:r>
      <w:r w:rsidR="000C05E7"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h</w:t>
      </w: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e noticed </w:t>
      </w:r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that at 19:39 and</w:t>
      </w:r>
      <w:r w:rsidR="008677A4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at 21:25 on the </w:t>
      </w:r>
      <w:proofErr w:type="spellStart"/>
      <w:r w:rsidR="008677A4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same</w:t>
      </w:r>
      <w:proofErr w:type="spellEnd"/>
      <w:r w:rsidR="008677A4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28.10.2019</w:t>
      </w:r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proofErr w:type="spellStart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two</w:t>
      </w:r>
      <w:proofErr w:type="spellEnd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proofErr w:type="spellStart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withdrawals</w:t>
      </w:r>
      <w:proofErr w:type="spellEnd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="000C05E7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for </w:t>
      </w:r>
      <w:proofErr w:type="spellStart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respectively</w:t>
      </w:r>
      <w:proofErr w:type="spellEnd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of Euro 950 and Euro 700.00. </w:t>
      </w:r>
      <w:proofErr w:type="spellStart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Further</w:t>
      </w:r>
      <w:bookmarkStart w:id="0" w:name="_GoBack"/>
      <w:bookmarkEnd w:id="0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more</w:t>
      </w:r>
      <w:proofErr w:type="spellEnd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on 29.10.2017 </w:t>
      </w:r>
      <w:proofErr w:type="spellStart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at</w:t>
      </w:r>
      <w:proofErr w:type="spellEnd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2:15 am a further withdrawal of </w:t>
      </w:r>
      <w:proofErr w:type="gramStart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Euro</w:t>
      </w:r>
      <w:proofErr w:type="gramEnd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50.00 had been made.</w:t>
      </w:r>
    </w:p>
    <w:p w:rsidR="008677A4" w:rsidRPr="00672874" w:rsidRDefault="00995242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The exponent claims to have stayed at the ATM (reports that he left only for a few minutes) for about 15 minutes </w:t>
      </w:r>
      <w:r w:rsidR="00B7694E"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trying</w:t>
      </w:r>
      <w:r w:rsidR="008677A4"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 to</w:t>
      </w: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 block the card held by the counter, and that, in this time frame, </w:t>
      </w:r>
      <w:r w:rsidR="008677A4"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he has not seen anyone to take the card.</w:t>
      </w:r>
    </w:p>
    <w:p w:rsidR="000C05E7" w:rsidRPr="00672874" w:rsidRDefault="000C05E7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He also specified that he uses the </w:t>
      </w:r>
      <w:r w:rsidR="00B43D95" w:rsidRPr="00672874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 xml:space="preserve">debt card both for </w:t>
      </w:r>
      <w:r w:rsidR="00B43D95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business and private </w:t>
      </w:r>
      <w:proofErr w:type="spellStart"/>
      <w:r w:rsidR="00B43D95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purposes</w:t>
      </w:r>
      <w:proofErr w:type="spellEnd"/>
      <w:r w:rsidR="00702585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</w:t>
      </w:r>
      <w:proofErr w:type="spellStart"/>
      <w:r w:rsidR="00702585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but</w:t>
      </w:r>
      <w:proofErr w:type="spellEnd"/>
      <w:r w:rsidR="00702585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proofErr w:type="spellStart"/>
      <w:r w:rsidR="00702585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mainly</w:t>
      </w:r>
      <w:proofErr w:type="spellEnd"/>
      <w:r w:rsidR="00702585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business. </w:t>
      </w:r>
    </w:p>
    <w:p w:rsidR="00E00F0A" w:rsidRPr="00672874" w:rsidRDefault="00E00F0A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</w:p>
    <w:p w:rsidR="00E00F0A" w:rsidRPr="00672874" w:rsidRDefault="00E00F0A" w:rsidP="00672874">
      <w:pPr>
        <w:pStyle w:val="NormaleWeb"/>
        <w:numPr>
          <w:ilvl w:val="0"/>
          <w:numId w:val="3"/>
        </w:numPr>
        <w:rPr>
          <w:rFonts w:asciiTheme="majorHAnsi" w:hAnsiTheme="majorHAnsi"/>
          <w:b/>
          <w:bCs/>
          <w:smallCaps/>
          <w:u w:val="single"/>
        </w:rPr>
      </w:pPr>
      <w:proofErr w:type="spellStart"/>
      <w:r w:rsidRPr="00672874">
        <w:rPr>
          <w:rFonts w:asciiTheme="majorHAnsi" w:hAnsiTheme="majorHAnsi" w:cs="Arial"/>
          <w:b/>
          <w:bCs/>
          <w:smallCaps/>
          <w:u w:val="single"/>
        </w:rPr>
        <w:t>verify</w:t>
      </w:r>
      <w:proofErr w:type="spellEnd"/>
      <w:r w:rsidRPr="00672874">
        <w:rPr>
          <w:rFonts w:asciiTheme="majorHAnsi" w:hAnsiTheme="majorHAnsi" w:cs="Arial"/>
          <w:b/>
          <w:bCs/>
          <w:smallCaps/>
          <w:u w:val="single"/>
        </w:rPr>
        <w:t xml:space="preserve"> </w:t>
      </w:r>
      <w:proofErr w:type="spellStart"/>
      <w:r w:rsidRPr="00672874">
        <w:rPr>
          <w:rFonts w:asciiTheme="majorHAnsi" w:hAnsiTheme="majorHAnsi" w:cs="Arial"/>
          <w:b/>
          <w:bCs/>
          <w:smallCaps/>
          <w:u w:val="single"/>
        </w:rPr>
        <w:t>if</w:t>
      </w:r>
      <w:proofErr w:type="spellEnd"/>
      <w:r w:rsidRPr="00672874">
        <w:rPr>
          <w:rFonts w:asciiTheme="majorHAnsi" w:hAnsiTheme="majorHAnsi" w:cs="Arial"/>
          <w:b/>
          <w:bCs/>
          <w:smallCaps/>
          <w:u w:val="single"/>
        </w:rPr>
        <w:t xml:space="preserve"> </w:t>
      </w:r>
      <w:r w:rsidRPr="00672874">
        <w:rPr>
          <w:rFonts w:asciiTheme="majorHAnsi" w:hAnsiTheme="majorHAnsi"/>
          <w:b/>
          <w:bCs/>
          <w:smallCaps/>
          <w:u w:val="single"/>
        </w:rPr>
        <w:t xml:space="preserve">the parties </w:t>
      </w:r>
      <w:proofErr w:type="spellStart"/>
      <w:r w:rsidRPr="00672874">
        <w:rPr>
          <w:rFonts w:asciiTheme="majorHAnsi" w:hAnsiTheme="majorHAnsi"/>
          <w:b/>
          <w:bCs/>
          <w:smallCaps/>
          <w:u w:val="single"/>
        </w:rPr>
        <w:t>involved</w:t>
      </w:r>
      <w:proofErr w:type="spellEnd"/>
      <w:r w:rsidRPr="00672874">
        <w:rPr>
          <w:rFonts w:asciiTheme="majorHAnsi" w:hAnsiTheme="majorHAnsi"/>
          <w:b/>
          <w:bCs/>
          <w:smallCaps/>
          <w:u w:val="single"/>
        </w:rPr>
        <w:t xml:space="preserve"> </w:t>
      </w:r>
      <w:proofErr w:type="spellStart"/>
      <w:r w:rsidRPr="00672874">
        <w:rPr>
          <w:rFonts w:asciiTheme="majorHAnsi" w:hAnsiTheme="majorHAnsi"/>
          <w:b/>
          <w:bCs/>
          <w:smallCaps/>
          <w:u w:val="single"/>
        </w:rPr>
        <w:t>fall</w:t>
      </w:r>
      <w:proofErr w:type="spellEnd"/>
      <w:r w:rsidRPr="00672874">
        <w:rPr>
          <w:rFonts w:asciiTheme="majorHAnsi" w:hAnsiTheme="majorHAnsi"/>
          <w:b/>
          <w:bCs/>
          <w:smallCaps/>
          <w:u w:val="single"/>
        </w:rPr>
        <w:t xml:space="preserve"> under the </w:t>
      </w:r>
      <w:proofErr w:type="spellStart"/>
      <w:r w:rsidRPr="00672874">
        <w:rPr>
          <w:rFonts w:asciiTheme="majorHAnsi" w:hAnsiTheme="majorHAnsi"/>
          <w:b/>
          <w:bCs/>
          <w:smallCaps/>
          <w:u w:val="single"/>
        </w:rPr>
        <w:t>definition</w:t>
      </w:r>
      <w:proofErr w:type="spellEnd"/>
      <w:r w:rsidRPr="00672874">
        <w:rPr>
          <w:rFonts w:asciiTheme="majorHAnsi" w:hAnsiTheme="majorHAnsi"/>
          <w:b/>
          <w:bCs/>
          <w:smallCaps/>
          <w:u w:val="single"/>
        </w:rPr>
        <w:t xml:space="preserve"> of “consumer” and “trader”: </w:t>
      </w:r>
    </w:p>
    <w:p w:rsidR="00E00F0A" w:rsidRPr="00672874" w:rsidRDefault="00E00F0A" w:rsidP="00672874">
      <w:pPr>
        <w:pStyle w:val="NormaleWeb"/>
        <w:numPr>
          <w:ilvl w:val="0"/>
          <w:numId w:val="6"/>
        </w:numPr>
        <w:rPr>
          <w:rFonts w:asciiTheme="majorHAnsi" w:hAnsiTheme="majorHAnsi"/>
        </w:rPr>
      </w:pPr>
      <w:r w:rsidRPr="00672874">
        <w:rPr>
          <w:rFonts w:asciiTheme="majorHAnsi" w:hAnsiTheme="majorHAnsi"/>
        </w:rPr>
        <w:t>Art. 2, par. 1, n. 1, Dir. 2011/83: «</w:t>
      </w:r>
      <w:proofErr w:type="spellStart"/>
      <w:r w:rsidRPr="00672874">
        <w:rPr>
          <w:rFonts w:asciiTheme="majorHAnsi" w:hAnsiTheme="majorHAnsi"/>
        </w:rPr>
        <w:t>any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natural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person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who</w:t>
      </w:r>
      <w:proofErr w:type="spellEnd"/>
      <w:r w:rsidRPr="00672874">
        <w:rPr>
          <w:rFonts w:asciiTheme="majorHAnsi" w:hAnsiTheme="majorHAnsi"/>
        </w:rPr>
        <w:t xml:space="preserve">, in </w:t>
      </w:r>
      <w:proofErr w:type="spellStart"/>
      <w:r w:rsidRPr="00672874">
        <w:rPr>
          <w:rFonts w:asciiTheme="majorHAnsi" w:hAnsiTheme="majorHAnsi"/>
        </w:rPr>
        <w:t>contracts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covered</w:t>
      </w:r>
      <w:proofErr w:type="spellEnd"/>
      <w:r w:rsidRPr="00672874">
        <w:rPr>
          <w:rFonts w:asciiTheme="majorHAnsi" w:hAnsiTheme="majorHAnsi"/>
        </w:rPr>
        <w:t xml:space="preserve"> by </w:t>
      </w:r>
      <w:proofErr w:type="spellStart"/>
      <w:r w:rsidRPr="00672874">
        <w:rPr>
          <w:rFonts w:asciiTheme="majorHAnsi" w:hAnsiTheme="majorHAnsi"/>
        </w:rPr>
        <w:t>this</w:t>
      </w:r>
      <w:proofErr w:type="spellEnd"/>
      <w:r w:rsidRPr="00672874">
        <w:rPr>
          <w:rFonts w:asciiTheme="majorHAnsi" w:hAnsiTheme="majorHAnsi"/>
        </w:rPr>
        <w:t xml:space="preserve"> Directive, </w:t>
      </w:r>
      <w:proofErr w:type="spellStart"/>
      <w:r w:rsidRPr="00672874">
        <w:rPr>
          <w:rFonts w:asciiTheme="majorHAnsi" w:hAnsiTheme="majorHAnsi"/>
        </w:rPr>
        <w:t>is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acting</w:t>
      </w:r>
      <w:proofErr w:type="spellEnd"/>
      <w:r w:rsidRPr="00672874">
        <w:rPr>
          <w:rFonts w:asciiTheme="majorHAnsi" w:hAnsiTheme="majorHAnsi"/>
        </w:rPr>
        <w:t xml:space="preserve"> for </w:t>
      </w:r>
      <w:proofErr w:type="spellStart"/>
      <w:r w:rsidRPr="00672874">
        <w:rPr>
          <w:rFonts w:asciiTheme="majorHAnsi" w:hAnsiTheme="majorHAnsi"/>
        </w:rPr>
        <w:t>purposes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which</w:t>
      </w:r>
      <w:proofErr w:type="spellEnd"/>
      <w:r w:rsidRPr="00672874">
        <w:rPr>
          <w:rFonts w:asciiTheme="majorHAnsi" w:hAnsiTheme="majorHAnsi"/>
        </w:rPr>
        <w:t xml:space="preserve"> are </w:t>
      </w:r>
      <w:proofErr w:type="spellStart"/>
      <w:r w:rsidRPr="00672874">
        <w:rPr>
          <w:rFonts w:asciiTheme="majorHAnsi" w:hAnsiTheme="majorHAnsi"/>
        </w:rPr>
        <w:t>outside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his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trade</w:t>
      </w:r>
      <w:proofErr w:type="spellEnd"/>
      <w:r w:rsidRPr="00672874">
        <w:rPr>
          <w:rFonts w:asciiTheme="majorHAnsi" w:hAnsiTheme="majorHAnsi"/>
        </w:rPr>
        <w:t xml:space="preserve">, business, </w:t>
      </w:r>
      <w:proofErr w:type="spellStart"/>
      <w:r w:rsidRPr="00672874">
        <w:rPr>
          <w:rFonts w:asciiTheme="majorHAnsi" w:hAnsiTheme="majorHAnsi"/>
        </w:rPr>
        <w:t>craft</w:t>
      </w:r>
      <w:proofErr w:type="spellEnd"/>
      <w:r w:rsidRPr="00672874">
        <w:rPr>
          <w:rFonts w:asciiTheme="majorHAnsi" w:hAnsiTheme="majorHAnsi"/>
        </w:rPr>
        <w:t xml:space="preserve"> or </w:t>
      </w:r>
      <w:proofErr w:type="spellStart"/>
      <w:r w:rsidRPr="00672874">
        <w:rPr>
          <w:rFonts w:asciiTheme="majorHAnsi" w:hAnsiTheme="majorHAnsi"/>
        </w:rPr>
        <w:t>profession</w:t>
      </w:r>
      <w:proofErr w:type="spellEnd"/>
      <w:r w:rsidRPr="00672874">
        <w:rPr>
          <w:rFonts w:asciiTheme="majorHAnsi" w:hAnsiTheme="majorHAnsi"/>
        </w:rPr>
        <w:t xml:space="preserve">» </w:t>
      </w:r>
      <w:proofErr w:type="gramStart"/>
      <w:r w:rsidRPr="00672874">
        <w:rPr>
          <w:rFonts w:asciiTheme="majorHAnsi" w:hAnsiTheme="majorHAnsi"/>
        </w:rPr>
        <w:t>«</w:t>
      </w:r>
      <w:r w:rsidRPr="00672874">
        <w:rPr>
          <w:rFonts w:asciiTheme="majorHAnsi" w:hAnsiTheme="majorHAnsi"/>
          <w:color w:val="444444"/>
          <w:shd w:val="clear" w:color="auto" w:fill="FFFFFF"/>
        </w:rPr>
        <w:t xml:space="preserve"> </w:t>
      </w:r>
      <w:proofErr w:type="spellStart"/>
      <w:r w:rsidRPr="00672874">
        <w:rPr>
          <w:rFonts w:asciiTheme="majorHAnsi" w:hAnsiTheme="majorHAnsi"/>
        </w:rPr>
        <w:t>any</w:t>
      </w:r>
      <w:proofErr w:type="spellEnd"/>
      <w:proofErr w:type="gram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natural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person</w:t>
      </w:r>
      <w:proofErr w:type="spellEnd"/>
      <w:r w:rsidRPr="00672874">
        <w:rPr>
          <w:rFonts w:asciiTheme="majorHAnsi" w:hAnsiTheme="majorHAnsi"/>
        </w:rPr>
        <w:t xml:space="preserve"> or </w:t>
      </w:r>
      <w:proofErr w:type="spellStart"/>
      <w:r w:rsidRPr="00672874">
        <w:rPr>
          <w:rFonts w:asciiTheme="majorHAnsi" w:hAnsiTheme="majorHAnsi"/>
        </w:rPr>
        <w:t>any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legal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person</w:t>
      </w:r>
      <w:proofErr w:type="spellEnd"/>
      <w:r w:rsidRPr="00672874">
        <w:rPr>
          <w:rFonts w:asciiTheme="majorHAnsi" w:hAnsiTheme="majorHAnsi"/>
        </w:rPr>
        <w:t xml:space="preserve">, </w:t>
      </w:r>
      <w:proofErr w:type="spellStart"/>
      <w:r w:rsidRPr="00672874">
        <w:rPr>
          <w:rFonts w:asciiTheme="majorHAnsi" w:hAnsiTheme="majorHAnsi"/>
        </w:rPr>
        <w:t>irrespective</w:t>
      </w:r>
      <w:proofErr w:type="spellEnd"/>
      <w:r w:rsidRPr="00672874">
        <w:rPr>
          <w:rFonts w:asciiTheme="majorHAnsi" w:hAnsiTheme="majorHAnsi"/>
        </w:rPr>
        <w:t xml:space="preserve"> of </w:t>
      </w:r>
      <w:proofErr w:type="spellStart"/>
      <w:r w:rsidRPr="00672874">
        <w:rPr>
          <w:rFonts w:asciiTheme="majorHAnsi" w:hAnsiTheme="majorHAnsi"/>
        </w:rPr>
        <w:t>whether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privately</w:t>
      </w:r>
      <w:proofErr w:type="spellEnd"/>
      <w:r w:rsidRPr="00672874">
        <w:rPr>
          <w:rFonts w:asciiTheme="majorHAnsi" w:hAnsiTheme="majorHAnsi"/>
        </w:rPr>
        <w:t xml:space="preserve"> or </w:t>
      </w:r>
      <w:proofErr w:type="spellStart"/>
      <w:r w:rsidRPr="00672874">
        <w:rPr>
          <w:rFonts w:asciiTheme="majorHAnsi" w:hAnsiTheme="majorHAnsi"/>
        </w:rPr>
        <w:t>publicly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owned</w:t>
      </w:r>
      <w:proofErr w:type="spellEnd"/>
      <w:r w:rsidRPr="00672874">
        <w:rPr>
          <w:rFonts w:asciiTheme="majorHAnsi" w:hAnsiTheme="majorHAnsi"/>
        </w:rPr>
        <w:t xml:space="preserve">, </w:t>
      </w:r>
      <w:proofErr w:type="spellStart"/>
      <w:r w:rsidRPr="00672874">
        <w:rPr>
          <w:rFonts w:asciiTheme="majorHAnsi" w:hAnsiTheme="majorHAnsi"/>
        </w:rPr>
        <w:t>who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is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acting</w:t>
      </w:r>
      <w:proofErr w:type="spellEnd"/>
      <w:r w:rsidRPr="00672874">
        <w:rPr>
          <w:rFonts w:asciiTheme="majorHAnsi" w:hAnsiTheme="majorHAnsi"/>
        </w:rPr>
        <w:t xml:space="preserve">, </w:t>
      </w:r>
      <w:proofErr w:type="spellStart"/>
      <w:r w:rsidRPr="00672874">
        <w:rPr>
          <w:rFonts w:asciiTheme="majorHAnsi" w:hAnsiTheme="majorHAnsi"/>
        </w:rPr>
        <w:t>including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through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any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other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person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acting</w:t>
      </w:r>
      <w:proofErr w:type="spellEnd"/>
      <w:r w:rsidRPr="00672874">
        <w:rPr>
          <w:rFonts w:asciiTheme="majorHAnsi" w:hAnsiTheme="majorHAnsi"/>
        </w:rPr>
        <w:t xml:space="preserve"> in </w:t>
      </w:r>
      <w:proofErr w:type="spellStart"/>
      <w:r w:rsidRPr="00672874">
        <w:rPr>
          <w:rFonts w:asciiTheme="majorHAnsi" w:hAnsiTheme="majorHAnsi"/>
        </w:rPr>
        <w:t>his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name</w:t>
      </w:r>
      <w:proofErr w:type="spellEnd"/>
      <w:r w:rsidRPr="00672874">
        <w:rPr>
          <w:rFonts w:asciiTheme="majorHAnsi" w:hAnsiTheme="majorHAnsi"/>
        </w:rPr>
        <w:t xml:space="preserve"> or on </w:t>
      </w:r>
      <w:proofErr w:type="spellStart"/>
      <w:r w:rsidRPr="00672874">
        <w:rPr>
          <w:rFonts w:asciiTheme="majorHAnsi" w:hAnsiTheme="majorHAnsi"/>
        </w:rPr>
        <w:t>his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behalf</w:t>
      </w:r>
      <w:proofErr w:type="spellEnd"/>
      <w:r w:rsidRPr="00672874">
        <w:rPr>
          <w:rFonts w:asciiTheme="majorHAnsi" w:hAnsiTheme="majorHAnsi"/>
        </w:rPr>
        <w:t xml:space="preserve">, for </w:t>
      </w:r>
      <w:proofErr w:type="spellStart"/>
      <w:r w:rsidRPr="00672874">
        <w:rPr>
          <w:rFonts w:asciiTheme="majorHAnsi" w:hAnsiTheme="majorHAnsi"/>
        </w:rPr>
        <w:t>purposes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relating</w:t>
      </w:r>
      <w:proofErr w:type="spellEnd"/>
      <w:r w:rsidRPr="00672874">
        <w:rPr>
          <w:rFonts w:asciiTheme="majorHAnsi" w:hAnsiTheme="majorHAnsi"/>
        </w:rPr>
        <w:t xml:space="preserve"> to </w:t>
      </w:r>
      <w:proofErr w:type="spellStart"/>
      <w:r w:rsidRPr="00672874">
        <w:rPr>
          <w:rFonts w:asciiTheme="majorHAnsi" w:hAnsiTheme="majorHAnsi"/>
        </w:rPr>
        <w:t>his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trade</w:t>
      </w:r>
      <w:proofErr w:type="spellEnd"/>
      <w:r w:rsidRPr="00672874">
        <w:rPr>
          <w:rFonts w:asciiTheme="majorHAnsi" w:hAnsiTheme="majorHAnsi"/>
        </w:rPr>
        <w:t xml:space="preserve">, business, </w:t>
      </w:r>
      <w:proofErr w:type="spellStart"/>
      <w:r w:rsidRPr="00672874">
        <w:rPr>
          <w:rFonts w:asciiTheme="majorHAnsi" w:hAnsiTheme="majorHAnsi"/>
        </w:rPr>
        <w:t>craft</w:t>
      </w:r>
      <w:proofErr w:type="spellEnd"/>
      <w:r w:rsidRPr="00672874">
        <w:rPr>
          <w:rFonts w:asciiTheme="majorHAnsi" w:hAnsiTheme="majorHAnsi"/>
        </w:rPr>
        <w:t xml:space="preserve"> or </w:t>
      </w:r>
      <w:proofErr w:type="spellStart"/>
      <w:r w:rsidRPr="00672874">
        <w:rPr>
          <w:rFonts w:asciiTheme="majorHAnsi" w:hAnsiTheme="majorHAnsi"/>
        </w:rPr>
        <w:t>profession</w:t>
      </w:r>
      <w:proofErr w:type="spellEnd"/>
      <w:r w:rsidRPr="00672874">
        <w:rPr>
          <w:rFonts w:asciiTheme="majorHAnsi" w:hAnsiTheme="majorHAnsi"/>
        </w:rPr>
        <w:t xml:space="preserve"> in relation to </w:t>
      </w:r>
      <w:proofErr w:type="spellStart"/>
      <w:r w:rsidRPr="00672874">
        <w:rPr>
          <w:rFonts w:asciiTheme="majorHAnsi" w:hAnsiTheme="majorHAnsi"/>
        </w:rPr>
        <w:t>contracts</w:t>
      </w:r>
      <w:proofErr w:type="spellEnd"/>
      <w:r w:rsidRPr="00672874">
        <w:rPr>
          <w:rFonts w:asciiTheme="majorHAnsi" w:hAnsiTheme="majorHAnsi"/>
        </w:rPr>
        <w:t xml:space="preserve"> </w:t>
      </w:r>
      <w:proofErr w:type="spellStart"/>
      <w:r w:rsidRPr="00672874">
        <w:rPr>
          <w:rFonts w:asciiTheme="majorHAnsi" w:hAnsiTheme="majorHAnsi"/>
        </w:rPr>
        <w:t>covered</w:t>
      </w:r>
      <w:proofErr w:type="spellEnd"/>
      <w:r w:rsidRPr="00672874">
        <w:rPr>
          <w:rFonts w:asciiTheme="majorHAnsi" w:hAnsiTheme="majorHAnsi"/>
        </w:rPr>
        <w:t xml:space="preserve"> by </w:t>
      </w:r>
      <w:proofErr w:type="spellStart"/>
      <w:r w:rsidRPr="00672874">
        <w:rPr>
          <w:rFonts w:asciiTheme="majorHAnsi" w:hAnsiTheme="majorHAnsi"/>
        </w:rPr>
        <w:t>this</w:t>
      </w:r>
      <w:proofErr w:type="spellEnd"/>
      <w:r w:rsidRPr="00672874">
        <w:rPr>
          <w:rFonts w:asciiTheme="majorHAnsi" w:hAnsiTheme="majorHAnsi"/>
        </w:rPr>
        <w:t xml:space="preserve"> Directive».</w:t>
      </w:r>
    </w:p>
    <w:p w:rsidR="00502B79" w:rsidRPr="00672874" w:rsidRDefault="00502B79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</w:p>
    <w:p w:rsidR="006E6587" w:rsidRPr="00672874" w:rsidRDefault="00A72923" w:rsidP="00672874">
      <w:pPr>
        <w:pStyle w:val="NormaleWeb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672874">
        <w:rPr>
          <w:rFonts w:asciiTheme="majorHAnsi" w:hAnsiTheme="majorHAnsi"/>
          <w:i/>
        </w:rPr>
        <w:t>ratione</w:t>
      </w:r>
      <w:proofErr w:type="spellEnd"/>
      <w:r w:rsidRPr="00672874">
        <w:rPr>
          <w:rFonts w:asciiTheme="majorHAnsi" w:hAnsiTheme="majorHAnsi"/>
          <w:i/>
        </w:rPr>
        <w:t xml:space="preserve"> </w:t>
      </w:r>
      <w:proofErr w:type="spellStart"/>
      <w:r w:rsidRPr="00672874">
        <w:rPr>
          <w:rFonts w:asciiTheme="majorHAnsi" w:hAnsiTheme="majorHAnsi"/>
          <w:i/>
        </w:rPr>
        <w:t>personae</w:t>
      </w:r>
      <w:proofErr w:type="spellEnd"/>
      <w:r w:rsidR="002B3DC5" w:rsidRPr="00672874">
        <w:rPr>
          <w:rFonts w:asciiTheme="majorHAnsi" w:hAnsiTheme="majorHAnsi"/>
          <w:iCs/>
        </w:rPr>
        <w:t xml:space="preserve">: </w:t>
      </w:r>
      <w:r w:rsidR="006E6587" w:rsidRPr="00672874">
        <w:rPr>
          <w:rFonts w:asciiTheme="majorHAnsi" w:hAnsiTheme="majorHAnsi"/>
        </w:rPr>
        <w:t xml:space="preserve">Can a company be </w:t>
      </w:r>
      <w:proofErr w:type="spellStart"/>
      <w:r w:rsidR="006E6587" w:rsidRPr="00672874">
        <w:rPr>
          <w:rFonts w:asciiTheme="majorHAnsi" w:hAnsiTheme="majorHAnsi"/>
        </w:rPr>
        <w:t>regarded</w:t>
      </w:r>
      <w:proofErr w:type="spellEnd"/>
      <w:r w:rsidR="006E6587" w:rsidRPr="00672874">
        <w:rPr>
          <w:rFonts w:asciiTheme="majorHAnsi" w:hAnsiTheme="majorHAnsi"/>
        </w:rPr>
        <w:t xml:space="preserve"> </w:t>
      </w:r>
      <w:proofErr w:type="spellStart"/>
      <w:r w:rsidR="006E6587" w:rsidRPr="00672874">
        <w:rPr>
          <w:rFonts w:asciiTheme="majorHAnsi" w:hAnsiTheme="majorHAnsi"/>
        </w:rPr>
        <w:t>as</w:t>
      </w:r>
      <w:proofErr w:type="spellEnd"/>
      <w:r w:rsidR="006E6587" w:rsidRPr="00672874">
        <w:rPr>
          <w:rFonts w:asciiTheme="majorHAnsi" w:hAnsiTheme="majorHAnsi"/>
        </w:rPr>
        <w:t xml:space="preserve"> a consumer?' </w:t>
      </w:r>
    </w:p>
    <w:p w:rsidR="00674648" w:rsidRPr="00672874" w:rsidRDefault="002B3DC5" w:rsidP="0067287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672874">
        <w:rPr>
          <w:rFonts w:asciiTheme="majorHAnsi" w:hAnsiTheme="majorHAnsi"/>
          <w:iCs/>
          <w:sz w:val="24"/>
          <w:szCs w:val="24"/>
        </w:rPr>
        <w:t xml:space="preserve">consumer </w:t>
      </w:r>
      <w:r w:rsidR="00674648" w:rsidRPr="00672874">
        <w:rPr>
          <w:rFonts w:asciiTheme="majorHAnsi" w:hAnsiTheme="majorHAnsi"/>
          <w:iCs/>
          <w:sz w:val="24"/>
          <w:szCs w:val="24"/>
        </w:rPr>
        <w:t xml:space="preserve">must be </w:t>
      </w:r>
      <w:proofErr w:type="spellStart"/>
      <w:r w:rsidR="00674648" w:rsidRPr="00672874">
        <w:rPr>
          <w:rFonts w:asciiTheme="majorHAnsi" w:hAnsiTheme="majorHAnsi"/>
          <w:iCs/>
          <w:sz w:val="24"/>
          <w:szCs w:val="24"/>
        </w:rPr>
        <w:t>interpreted</w:t>
      </w:r>
      <w:proofErr w:type="spellEnd"/>
      <w:r w:rsidR="00674648" w:rsidRPr="00672874">
        <w:rPr>
          <w:rFonts w:asciiTheme="majorHAnsi" w:hAnsiTheme="majorHAnsi"/>
          <w:iCs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iCs/>
          <w:sz w:val="24"/>
          <w:szCs w:val="24"/>
        </w:rPr>
        <w:t>as</w:t>
      </w:r>
      <w:proofErr w:type="spellEnd"/>
      <w:r w:rsidR="00674648" w:rsidRPr="00672874">
        <w:rPr>
          <w:rFonts w:asciiTheme="majorHAnsi" w:hAnsiTheme="majorHAnsi"/>
          <w:iCs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iCs/>
          <w:sz w:val="24"/>
          <w:szCs w:val="24"/>
        </w:rPr>
        <w:t>referring</w:t>
      </w:r>
      <w:proofErr w:type="spellEnd"/>
      <w:r w:rsidR="00674648" w:rsidRPr="00672874">
        <w:rPr>
          <w:rFonts w:asciiTheme="majorHAnsi" w:hAnsiTheme="majorHAnsi"/>
          <w:iCs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iCs/>
          <w:sz w:val="24"/>
          <w:szCs w:val="24"/>
        </w:rPr>
        <w:t>solely</w:t>
      </w:r>
      <w:proofErr w:type="spellEnd"/>
      <w:r w:rsidR="00674648" w:rsidRPr="00672874">
        <w:rPr>
          <w:rFonts w:asciiTheme="majorHAnsi" w:hAnsiTheme="majorHAnsi"/>
          <w:iCs/>
          <w:sz w:val="24"/>
          <w:szCs w:val="24"/>
        </w:rPr>
        <w:t xml:space="preserve"> to </w:t>
      </w:r>
      <w:proofErr w:type="spellStart"/>
      <w:r w:rsidR="00674648" w:rsidRPr="00672874">
        <w:rPr>
          <w:rFonts w:asciiTheme="majorHAnsi" w:hAnsiTheme="majorHAnsi"/>
          <w:iCs/>
          <w:sz w:val="24"/>
          <w:szCs w:val="24"/>
        </w:rPr>
        <w:t>natural</w:t>
      </w:r>
      <w:proofErr w:type="spellEnd"/>
      <w:r w:rsidR="00674648" w:rsidRPr="00672874">
        <w:rPr>
          <w:rFonts w:asciiTheme="majorHAnsi" w:hAnsiTheme="majorHAnsi"/>
          <w:iCs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iCs/>
          <w:sz w:val="24"/>
          <w:szCs w:val="24"/>
        </w:rPr>
        <w:t>persons</w:t>
      </w:r>
      <w:proofErr w:type="spellEnd"/>
      <w:r w:rsidR="00674648" w:rsidRPr="00672874">
        <w:rPr>
          <w:rFonts w:asciiTheme="majorHAnsi" w:hAnsiTheme="majorHAnsi"/>
          <w:iCs/>
          <w:sz w:val="24"/>
          <w:szCs w:val="24"/>
        </w:rPr>
        <w:t xml:space="preserve">. </w:t>
      </w:r>
    </w:p>
    <w:p w:rsidR="00674648" w:rsidRPr="00672874" w:rsidRDefault="00A72923" w:rsidP="0067287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672874">
        <w:rPr>
          <w:rFonts w:asciiTheme="majorHAnsi" w:hAnsiTheme="majorHAnsi"/>
          <w:sz w:val="24"/>
          <w:szCs w:val="24"/>
        </w:rPr>
        <w:t xml:space="preserve"> </w:t>
      </w:r>
      <w:r w:rsidR="00C820E8" w:rsidRPr="00672874">
        <w:rPr>
          <w:rFonts w:asciiTheme="majorHAnsi" w:hAnsiTheme="majorHAnsi"/>
          <w:sz w:val="24"/>
          <w:szCs w:val="24"/>
        </w:rPr>
        <w:t xml:space="preserve">companies </w:t>
      </w:r>
      <w:r w:rsidR="002B3DC5" w:rsidRPr="00672874">
        <w:rPr>
          <w:rFonts w:asciiTheme="majorHAnsi" w:hAnsiTheme="majorHAnsi"/>
          <w:sz w:val="24"/>
          <w:szCs w:val="24"/>
        </w:rPr>
        <w:t xml:space="preserve">and </w:t>
      </w:r>
      <w:proofErr w:type="spellStart"/>
      <w:r w:rsidR="002B3DC5" w:rsidRPr="00672874">
        <w:rPr>
          <w:rFonts w:asciiTheme="majorHAnsi" w:hAnsiTheme="majorHAnsi"/>
          <w:sz w:val="24"/>
          <w:szCs w:val="24"/>
        </w:rPr>
        <w:t>association</w:t>
      </w:r>
      <w:proofErr w:type="spellEnd"/>
      <w:r w:rsidR="002B3DC5" w:rsidRPr="00672874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2B3DC5" w:rsidRPr="00672874">
        <w:rPr>
          <w:rFonts w:asciiTheme="majorHAnsi" w:hAnsiTheme="majorHAnsi"/>
          <w:sz w:val="24"/>
          <w:szCs w:val="24"/>
        </w:rPr>
        <w:t>even</w:t>
      </w:r>
      <w:proofErr w:type="spellEnd"/>
      <w:r w:rsidR="002B3DC5" w:rsidRPr="00672874">
        <w:rPr>
          <w:rFonts w:asciiTheme="majorHAnsi" w:hAnsiTheme="majorHAnsi"/>
          <w:sz w:val="24"/>
          <w:szCs w:val="24"/>
        </w:rPr>
        <w:t xml:space="preserve"> NGO) must be </w:t>
      </w:r>
      <w:proofErr w:type="spellStart"/>
      <w:r w:rsidR="002B3DC5" w:rsidRPr="00672874">
        <w:rPr>
          <w:rFonts w:asciiTheme="majorHAnsi" w:hAnsiTheme="majorHAnsi"/>
          <w:sz w:val="24"/>
          <w:szCs w:val="24"/>
        </w:rPr>
        <w:t>escluded</w:t>
      </w:r>
      <w:proofErr w:type="spellEnd"/>
      <w:r w:rsidR="002B3DC5" w:rsidRPr="00672874">
        <w:rPr>
          <w:rFonts w:asciiTheme="majorHAnsi" w:hAnsiTheme="majorHAnsi"/>
          <w:sz w:val="24"/>
          <w:szCs w:val="24"/>
        </w:rPr>
        <w:t xml:space="preserve"> </w:t>
      </w:r>
    </w:p>
    <w:p w:rsidR="004D5C94" w:rsidRPr="00672874" w:rsidRDefault="0019618D" w:rsidP="0067287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672874">
        <w:rPr>
          <w:rFonts w:asciiTheme="majorHAnsi" w:hAnsiTheme="majorHAnsi"/>
          <w:b/>
          <w:bCs/>
          <w:sz w:val="24"/>
          <w:szCs w:val="24"/>
        </w:rPr>
        <w:t xml:space="preserve">CGCE, C-541/99 </w:t>
      </w:r>
      <w:r w:rsidR="00441E72" w:rsidRPr="00672874">
        <w:rPr>
          <w:rFonts w:asciiTheme="majorHAnsi" w:hAnsiTheme="majorHAnsi"/>
          <w:b/>
          <w:bCs/>
          <w:sz w:val="24"/>
          <w:szCs w:val="24"/>
        </w:rPr>
        <w:t xml:space="preserve">and </w:t>
      </w:r>
      <w:r w:rsidRPr="00672874">
        <w:rPr>
          <w:rFonts w:asciiTheme="majorHAnsi" w:hAnsiTheme="majorHAnsi"/>
          <w:b/>
          <w:bCs/>
          <w:sz w:val="24"/>
          <w:szCs w:val="24"/>
        </w:rPr>
        <w:t>C-542/99</w:t>
      </w:r>
      <w:r w:rsidR="00674648" w:rsidRPr="00672874">
        <w:rPr>
          <w:rFonts w:asciiTheme="majorHAnsi" w:hAnsiTheme="majorHAnsi"/>
          <w:sz w:val="24"/>
          <w:szCs w:val="24"/>
        </w:rPr>
        <w:t>: «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It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is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thus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clear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from the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wording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Article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2 of the Directive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that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person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other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than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natural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person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who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concludes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contract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with a seller or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supplier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cannot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be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regarded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as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a consumer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within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meaning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that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4648" w:rsidRPr="00672874">
        <w:rPr>
          <w:rFonts w:asciiTheme="majorHAnsi" w:hAnsiTheme="majorHAnsi"/>
          <w:sz w:val="24"/>
          <w:szCs w:val="24"/>
        </w:rPr>
        <w:t>provision</w:t>
      </w:r>
      <w:proofErr w:type="spellEnd"/>
      <w:r w:rsidR="00674648" w:rsidRPr="00672874">
        <w:rPr>
          <w:rFonts w:asciiTheme="majorHAnsi" w:hAnsiTheme="majorHAnsi"/>
          <w:sz w:val="24"/>
          <w:szCs w:val="24"/>
        </w:rPr>
        <w:t>»</w:t>
      </w:r>
    </w:p>
    <w:p w:rsidR="000B4B43" w:rsidRPr="00672874" w:rsidRDefault="004D5C94" w:rsidP="00672874">
      <w:pPr>
        <w:spacing w:after="0" w:line="240" w:lineRule="auto"/>
        <w:ind w:left="360"/>
        <w:jc w:val="both"/>
        <w:rPr>
          <w:rStyle w:val="Rimandonotaapidipagina"/>
          <w:rFonts w:asciiTheme="majorHAnsi" w:hAnsiTheme="majorHAnsi"/>
          <w:b/>
          <w:bCs/>
          <w:sz w:val="24"/>
          <w:szCs w:val="24"/>
        </w:rPr>
      </w:pPr>
      <w:r w:rsidRPr="00672874">
        <w:rPr>
          <w:rFonts w:asciiTheme="majorHAnsi" w:hAnsiTheme="majorHAnsi"/>
          <w:b/>
          <w:bCs/>
          <w:sz w:val="24"/>
          <w:szCs w:val="24"/>
        </w:rPr>
        <w:t>CGCE, C-256/00</w:t>
      </w:r>
      <w:r w:rsidR="00072580" w:rsidRPr="00672874">
        <w:rPr>
          <w:rFonts w:asciiTheme="majorHAnsi" w:hAnsiTheme="majorHAnsi"/>
          <w:b/>
          <w:bCs/>
          <w:sz w:val="24"/>
          <w:szCs w:val="24"/>
        </w:rPr>
        <w:t>, §26</w:t>
      </w:r>
    </w:p>
    <w:p w:rsidR="00441E72" w:rsidRPr="00672874" w:rsidRDefault="00985426" w:rsidP="0067287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</w:pPr>
      <w:proofErr w:type="spellStart"/>
      <w:r w:rsidRPr="00672874">
        <w:rPr>
          <w:rFonts w:asciiTheme="majorHAnsi" w:eastAsia="Times New Roman" w:hAnsiTheme="majorHAnsi" w:cs="Times New Roman"/>
          <w:bCs/>
          <w:i/>
          <w:sz w:val="24"/>
          <w:szCs w:val="24"/>
          <w:lang w:eastAsia="it-IT"/>
        </w:rPr>
        <w:t>ratione</w:t>
      </w:r>
      <w:proofErr w:type="spellEnd"/>
      <w:r w:rsidRPr="00672874">
        <w:rPr>
          <w:rFonts w:asciiTheme="majorHAnsi" w:eastAsia="Times New Roman" w:hAnsiTheme="majorHAnsi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672874">
        <w:rPr>
          <w:rFonts w:asciiTheme="majorHAnsi" w:eastAsia="Times New Roman" w:hAnsiTheme="majorHAnsi" w:cs="Times New Roman"/>
          <w:bCs/>
          <w:i/>
          <w:sz w:val="24"/>
          <w:szCs w:val="24"/>
          <w:lang w:eastAsia="it-IT"/>
        </w:rPr>
        <w:t>materiae</w:t>
      </w:r>
      <w:proofErr w:type="spellEnd"/>
      <w:r w:rsidRPr="00672874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 xml:space="preserve">, </w:t>
      </w:r>
      <w:r w:rsidR="008219FE" w:rsidRPr="00672874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 xml:space="preserve">private </w:t>
      </w:r>
      <w:proofErr w:type="spellStart"/>
      <w:r w:rsidR="008219FE" w:rsidRPr="00672874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>purpose</w:t>
      </w:r>
      <w:proofErr w:type="spellEnd"/>
    </w:p>
    <w:p w:rsidR="00C16858" w:rsidRPr="00672874" w:rsidRDefault="00246B93" w:rsidP="0067287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672874">
        <w:rPr>
          <w:rFonts w:asciiTheme="majorHAnsi" w:hAnsiTheme="majorHAnsi"/>
          <w:sz w:val="24"/>
          <w:szCs w:val="24"/>
        </w:rPr>
        <w:t>CGCE, C-269/95</w:t>
      </w:r>
      <w:r w:rsidR="00C16858" w:rsidRPr="00672874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="00C16858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i</w:t>
      </w:r>
      <w:r w:rsidR="00C16858" w:rsidRPr="00672874">
        <w:rPr>
          <w:rFonts w:asciiTheme="majorHAnsi" w:hAnsiTheme="majorHAnsi"/>
          <w:sz w:val="24"/>
          <w:szCs w:val="24"/>
        </w:rPr>
        <w:t>t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follows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from the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foregoing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that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order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determine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whether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person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has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capacity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of a consumer, a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concept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which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must be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strictly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construed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reference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must be made to the position of the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person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concerned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in a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particular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contract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having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regard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to the nature and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aim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that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contract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, and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not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to the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subjective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situation of the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person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concerned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As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Advocate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General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rightly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observed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point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38 of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his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Opinion, the self-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same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person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may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be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regarded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as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a consumer in relation to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certain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transactions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as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an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economic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 xml:space="preserve"> operator in relation to </w:t>
      </w:r>
      <w:proofErr w:type="spellStart"/>
      <w:r w:rsidR="00C16858" w:rsidRPr="00672874">
        <w:rPr>
          <w:rFonts w:asciiTheme="majorHAnsi" w:hAnsiTheme="majorHAnsi"/>
          <w:sz w:val="24"/>
          <w:szCs w:val="24"/>
        </w:rPr>
        <w:t>others</w:t>
      </w:r>
      <w:proofErr w:type="spellEnd"/>
      <w:r w:rsidR="00C16858" w:rsidRPr="00672874">
        <w:rPr>
          <w:rFonts w:asciiTheme="majorHAnsi" w:hAnsiTheme="majorHAnsi"/>
          <w:sz w:val="24"/>
          <w:szCs w:val="24"/>
        </w:rPr>
        <w:t>» §</w:t>
      </w:r>
      <w:r w:rsidR="00190721" w:rsidRPr="00672874">
        <w:rPr>
          <w:rFonts w:asciiTheme="majorHAnsi" w:hAnsiTheme="majorHAnsi"/>
          <w:sz w:val="24"/>
          <w:szCs w:val="24"/>
        </w:rPr>
        <w:t>16</w:t>
      </w:r>
    </w:p>
    <w:p w:rsidR="00190721" w:rsidRPr="00672874" w:rsidRDefault="00190721" w:rsidP="0067287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672874">
        <w:rPr>
          <w:rFonts w:asciiTheme="majorHAnsi" w:hAnsiTheme="majorHAnsi"/>
          <w:sz w:val="24"/>
          <w:szCs w:val="24"/>
        </w:rPr>
        <w:t>«</w:t>
      </w:r>
      <w:proofErr w:type="spellStart"/>
      <w:r w:rsidRPr="00672874">
        <w:rPr>
          <w:rFonts w:asciiTheme="majorHAnsi" w:hAnsiTheme="majorHAnsi"/>
          <w:sz w:val="24"/>
          <w:szCs w:val="24"/>
        </w:rPr>
        <w:t>Consequently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72874">
        <w:rPr>
          <w:rFonts w:asciiTheme="majorHAnsi" w:hAnsiTheme="majorHAnsi"/>
          <w:sz w:val="24"/>
          <w:szCs w:val="24"/>
        </w:rPr>
        <w:t>only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contracts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concluded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for the </w:t>
      </w:r>
      <w:proofErr w:type="spellStart"/>
      <w:r w:rsidRPr="00672874">
        <w:rPr>
          <w:rFonts w:asciiTheme="majorHAnsi" w:hAnsiTheme="majorHAnsi"/>
          <w:sz w:val="24"/>
          <w:szCs w:val="24"/>
        </w:rPr>
        <w:t>purpose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672874">
        <w:rPr>
          <w:rFonts w:asciiTheme="majorHAnsi" w:hAnsiTheme="majorHAnsi"/>
          <w:sz w:val="24"/>
          <w:szCs w:val="24"/>
        </w:rPr>
        <w:t>satisfying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an </w:t>
      </w:r>
      <w:proofErr w:type="spellStart"/>
      <w:r w:rsidRPr="00672874">
        <w:rPr>
          <w:rFonts w:asciiTheme="majorHAnsi" w:hAnsiTheme="majorHAnsi"/>
          <w:sz w:val="24"/>
          <w:szCs w:val="24"/>
        </w:rPr>
        <w:t>individu</w:t>
      </w:r>
      <w:proofErr w:type="spellEnd"/>
      <w:r w:rsidRPr="00672874">
        <w:rPr>
          <w:rFonts w:asciiTheme="majorHAnsi" w:hAnsiTheme="majorHAnsi"/>
          <w:sz w:val="24"/>
          <w:szCs w:val="24"/>
        </w:rPr>
        <w:softHyphen/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al's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own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needs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672874">
        <w:rPr>
          <w:rFonts w:asciiTheme="majorHAnsi" w:hAnsiTheme="majorHAnsi"/>
          <w:sz w:val="24"/>
          <w:szCs w:val="24"/>
        </w:rPr>
        <w:t>terms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of private </w:t>
      </w:r>
      <w:proofErr w:type="spellStart"/>
      <w:r w:rsidRPr="00672874">
        <w:rPr>
          <w:rFonts w:asciiTheme="majorHAnsi" w:hAnsiTheme="majorHAnsi"/>
          <w:sz w:val="24"/>
          <w:szCs w:val="24"/>
        </w:rPr>
        <w:t>consumption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come under the </w:t>
      </w:r>
      <w:proofErr w:type="spellStart"/>
      <w:r w:rsidRPr="00672874">
        <w:rPr>
          <w:rFonts w:asciiTheme="majorHAnsi" w:hAnsiTheme="majorHAnsi"/>
          <w:sz w:val="24"/>
          <w:szCs w:val="24"/>
        </w:rPr>
        <w:t>provisions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designed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672874">
        <w:rPr>
          <w:rFonts w:asciiTheme="majorHAnsi" w:hAnsiTheme="majorHAnsi"/>
          <w:sz w:val="24"/>
          <w:szCs w:val="24"/>
        </w:rPr>
        <w:t>protect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the consumer </w:t>
      </w:r>
      <w:proofErr w:type="spellStart"/>
      <w:r w:rsidRPr="00672874">
        <w:rPr>
          <w:rFonts w:asciiTheme="majorHAnsi" w:hAnsiTheme="majorHAnsi"/>
          <w:sz w:val="24"/>
          <w:szCs w:val="24"/>
        </w:rPr>
        <w:t>as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the party </w:t>
      </w:r>
      <w:proofErr w:type="spellStart"/>
      <w:r w:rsidRPr="00672874">
        <w:rPr>
          <w:rFonts w:asciiTheme="majorHAnsi" w:hAnsiTheme="majorHAnsi"/>
          <w:sz w:val="24"/>
          <w:szCs w:val="24"/>
        </w:rPr>
        <w:t>deemed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to be the </w:t>
      </w:r>
      <w:proofErr w:type="spellStart"/>
      <w:r w:rsidRPr="00672874">
        <w:rPr>
          <w:rFonts w:asciiTheme="majorHAnsi" w:hAnsiTheme="majorHAnsi"/>
          <w:sz w:val="24"/>
          <w:szCs w:val="24"/>
        </w:rPr>
        <w:t>weaker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party </w:t>
      </w:r>
      <w:proofErr w:type="spellStart"/>
      <w:r w:rsidRPr="00672874">
        <w:rPr>
          <w:rFonts w:asciiTheme="majorHAnsi" w:hAnsiTheme="majorHAnsi"/>
          <w:sz w:val="24"/>
          <w:szCs w:val="24"/>
        </w:rPr>
        <w:t>eco</w:t>
      </w:r>
      <w:r w:rsidRPr="00672874">
        <w:rPr>
          <w:rFonts w:asciiTheme="majorHAnsi" w:hAnsiTheme="majorHAnsi"/>
          <w:sz w:val="24"/>
          <w:szCs w:val="24"/>
        </w:rPr>
        <w:softHyphen/>
        <w:t>nomically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. The </w:t>
      </w:r>
      <w:proofErr w:type="spellStart"/>
      <w:r w:rsidRPr="00672874">
        <w:rPr>
          <w:rFonts w:asciiTheme="majorHAnsi" w:hAnsiTheme="majorHAnsi"/>
          <w:sz w:val="24"/>
          <w:szCs w:val="24"/>
        </w:rPr>
        <w:t>specific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protection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sought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to be </w:t>
      </w:r>
      <w:proofErr w:type="spellStart"/>
      <w:r w:rsidRPr="00672874">
        <w:rPr>
          <w:rFonts w:asciiTheme="majorHAnsi" w:hAnsiTheme="majorHAnsi"/>
          <w:sz w:val="24"/>
          <w:szCs w:val="24"/>
        </w:rPr>
        <w:t>afforded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672874">
        <w:rPr>
          <w:rFonts w:asciiTheme="majorHAnsi" w:hAnsiTheme="majorHAnsi"/>
          <w:sz w:val="24"/>
          <w:szCs w:val="24"/>
        </w:rPr>
        <w:t>those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provisions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is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unwarranted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in the case of </w:t>
      </w:r>
      <w:proofErr w:type="spellStart"/>
      <w:r w:rsidRPr="00672874">
        <w:rPr>
          <w:rFonts w:asciiTheme="majorHAnsi" w:hAnsiTheme="majorHAnsi"/>
          <w:sz w:val="24"/>
          <w:szCs w:val="24"/>
        </w:rPr>
        <w:t>contracts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for the </w:t>
      </w:r>
      <w:proofErr w:type="spellStart"/>
      <w:r w:rsidRPr="00672874">
        <w:rPr>
          <w:rFonts w:asciiTheme="majorHAnsi" w:hAnsiTheme="majorHAnsi"/>
          <w:sz w:val="24"/>
          <w:szCs w:val="24"/>
        </w:rPr>
        <w:lastRenderedPageBreak/>
        <w:t>purpose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672874">
        <w:rPr>
          <w:rFonts w:asciiTheme="majorHAnsi" w:hAnsiTheme="majorHAnsi"/>
          <w:sz w:val="24"/>
          <w:szCs w:val="24"/>
        </w:rPr>
        <w:t>trade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or </w:t>
      </w:r>
      <w:proofErr w:type="spellStart"/>
      <w:r w:rsidRPr="00672874">
        <w:rPr>
          <w:rFonts w:asciiTheme="majorHAnsi" w:hAnsiTheme="majorHAnsi"/>
          <w:sz w:val="24"/>
          <w:szCs w:val="24"/>
        </w:rPr>
        <w:t>professional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activ</w:t>
      </w:r>
      <w:proofErr w:type="spellEnd"/>
      <w:r w:rsidRPr="00672874">
        <w:rPr>
          <w:rFonts w:asciiTheme="majorHAnsi" w:hAnsiTheme="majorHAnsi"/>
          <w:sz w:val="24"/>
          <w:szCs w:val="24"/>
        </w:rPr>
        <w:softHyphen/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ity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72874">
        <w:rPr>
          <w:rFonts w:asciiTheme="majorHAnsi" w:hAnsiTheme="majorHAnsi"/>
          <w:sz w:val="24"/>
          <w:szCs w:val="24"/>
        </w:rPr>
        <w:t>even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if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that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activity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is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only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planned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for the future, </w:t>
      </w:r>
      <w:proofErr w:type="spellStart"/>
      <w:r w:rsidRPr="00672874">
        <w:rPr>
          <w:rFonts w:asciiTheme="majorHAnsi" w:hAnsiTheme="majorHAnsi"/>
          <w:sz w:val="24"/>
          <w:szCs w:val="24"/>
        </w:rPr>
        <w:t>since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Pr="00672874">
        <w:rPr>
          <w:rFonts w:asciiTheme="majorHAnsi" w:hAnsiTheme="majorHAnsi"/>
          <w:sz w:val="24"/>
          <w:szCs w:val="24"/>
        </w:rPr>
        <w:t>fact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that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an </w:t>
      </w:r>
      <w:proofErr w:type="spellStart"/>
      <w:r w:rsidRPr="00672874">
        <w:rPr>
          <w:rFonts w:asciiTheme="majorHAnsi" w:hAnsiTheme="majorHAnsi"/>
          <w:sz w:val="24"/>
          <w:szCs w:val="24"/>
        </w:rPr>
        <w:t>activity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is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in the nature of a future </w:t>
      </w:r>
      <w:proofErr w:type="spellStart"/>
      <w:r w:rsidRPr="00672874">
        <w:rPr>
          <w:rFonts w:asciiTheme="majorHAnsi" w:hAnsiTheme="majorHAnsi"/>
          <w:sz w:val="24"/>
          <w:szCs w:val="24"/>
        </w:rPr>
        <w:t>activity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does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not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divest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it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672874">
        <w:rPr>
          <w:rFonts w:asciiTheme="majorHAnsi" w:hAnsiTheme="majorHAnsi"/>
          <w:sz w:val="24"/>
          <w:szCs w:val="24"/>
        </w:rPr>
        <w:t>any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way of </w:t>
      </w:r>
      <w:proofErr w:type="spellStart"/>
      <w:r w:rsidRPr="00672874">
        <w:rPr>
          <w:rFonts w:asciiTheme="majorHAnsi" w:hAnsiTheme="majorHAnsi"/>
          <w:sz w:val="24"/>
          <w:szCs w:val="24"/>
        </w:rPr>
        <w:t>its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trade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or </w:t>
      </w:r>
      <w:proofErr w:type="spellStart"/>
      <w:r w:rsidRPr="00672874">
        <w:rPr>
          <w:rFonts w:asciiTheme="majorHAnsi" w:hAnsiTheme="majorHAnsi"/>
          <w:sz w:val="24"/>
          <w:szCs w:val="24"/>
        </w:rPr>
        <w:t>professional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character</w:t>
      </w:r>
      <w:proofErr w:type="spellEnd"/>
      <w:r w:rsidRPr="00672874">
        <w:rPr>
          <w:rFonts w:asciiTheme="majorHAnsi" w:hAnsiTheme="majorHAnsi"/>
          <w:sz w:val="24"/>
          <w:szCs w:val="24"/>
        </w:rPr>
        <w:t>» §17.</w:t>
      </w:r>
    </w:p>
    <w:p w:rsidR="00246B93" w:rsidRPr="00672874" w:rsidRDefault="00246B93" w:rsidP="0067287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0A690A" w:rsidRPr="00672874" w:rsidRDefault="00441E72" w:rsidP="0067287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672874">
        <w:rPr>
          <w:rFonts w:asciiTheme="majorHAnsi" w:hAnsiTheme="majorHAnsi"/>
          <w:sz w:val="24"/>
          <w:szCs w:val="24"/>
        </w:rPr>
        <w:t>CGCE, C-464/01</w:t>
      </w:r>
      <w:r w:rsidR="003C422E" w:rsidRPr="00672874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="003C422E" w:rsidRPr="00672874">
        <w:rPr>
          <w:rFonts w:asciiTheme="majorHAnsi" w:hAnsiTheme="majorHAnsi"/>
          <w:sz w:val="24"/>
          <w:szCs w:val="24"/>
        </w:rPr>
        <w:t>goods</w:t>
      </w:r>
      <w:proofErr w:type="spellEnd"/>
      <w:r w:rsidR="003C422E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C422E" w:rsidRPr="00672874">
        <w:rPr>
          <w:rFonts w:asciiTheme="majorHAnsi" w:hAnsiTheme="majorHAnsi"/>
          <w:smallCaps/>
          <w:sz w:val="24"/>
          <w:szCs w:val="24"/>
        </w:rPr>
        <w:t>mainly</w:t>
      </w:r>
      <w:proofErr w:type="spellEnd"/>
      <w:r w:rsidR="003C422E" w:rsidRPr="00672874">
        <w:rPr>
          <w:rFonts w:asciiTheme="majorHAnsi" w:hAnsiTheme="majorHAnsi"/>
          <w:sz w:val="24"/>
          <w:szCs w:val="24"/>
        </w:rPr>
        <w:t xml:space="preserve"> for business or for private </w:t>
      </w:r>
      <w:proofErr w:type="spellStart"/>
      <w:r w:rsidR="003C422E" w:rsidRPr="00672874">
        <w:rPr>
          <w:rFonts w:asciiTheme="majorHAnsi" w:hAnsiTheme="majorHAnsi"/>
          <w:sz w:val="24"/>
          <w:szCs w:val="24"/>
        </w:rPr>
        <w:t>purposes</w:t>
      </w:r>
      <w:proofErr w:type="spellEnd"/>
      <w:r w:rsidR="003C422E" w:rsidRPr="00672874">
        <w:rPr>
          <w:rFonts w:asciiTheme="majorHAnsi" w:hAnsiTheme="majorHAnsi"/>
          <w:sz w:val="24"/>
          <w:szCs w:val="24"/>
        </w:rPr>
        <w:t xml:space="preserve">: </w:t>
      </w:r>
      <w:r w:rsidR="00B938CD" w:rsidRPr="00672874">
        <w:rPr>
          <w:rFonts w:asciiTheme="majorHAnsi" w:hAnsiTheme="majorHAnsi"/>
          <w:sz w:val="24"/>
          <w:szCs w:val="24"/>
        </w:rPr>
        <w:t>i</w:t>
      </w:r>
      <w:r w:rsidR="000A690A" w:rsidRPr="00672874">
        <w:rPr>
          <w:rFonts w:asciiTheme="majorHAnsi" w:hAnsiTheme="majorHAnsi"/>
          <w:sz w:val="24"/>
          <w:szCs w:val="24"/>
        </w:rPr>
        <w:t xml:space="preserve">n case of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doubt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is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contract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which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may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be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attributed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both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to private and to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trade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or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professional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activity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to be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regarded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as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 a consumer </w:t>
      </w:r>
      <w:proofErr w:type="spellStart"/>
      <w:r w:rsidR="000A690A" w:rsidRPr="00672874">
        <w:rPr>
          <w:rFonts w:asciiTheme="majorHAnsi" w:hAnsiTheme="majorHAnsi"/>
          <w:sz w:val="24"/>
          <w:szCs w:val="24"/>
        </w:rPr>
        <w:t>contract</w:t>
      </w:r>
      <w:proofErr w:type="spellEnd"/>
      <w:r w:rsidR="000A690A" w:rsidRPr="00672874">
        <w:rPr>
          <w:rFonts w:asciiTheme="majorHAnsi" w:hAnsiTheme="majorHAnsi"/>
          <w:sz w:val="24"/>
          <w:szCs w:val="24"/>
        </w:rPr>
        <w:t xml:space="preserve">? </w:t>
      </w:r>
    </w:p>
    <w:p w:rsidR="00141C36" w:rsidRPr="00672874" w:rsidRDefault="00141C36" w:rsidP="0067287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72874">
        <w:rPr>
          <w:rFonts w:asciiTheme="majorHAnsi" w:hAnsiTheme="majorHAnsi"/>
          <w:sz w:val="24"/>
          <w:szCs w:val="24"/>
        </w:rPr>
        <w:t>what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criteria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are to be </w:t>
      </w:r>
      <w:proofErr w:type="spellStart"/>
      <w:r w:rsidRPr="00672874">
        <w:rPr>
          <w:rFonts w:asciiTheme="majorHAnsi" w:hAnsiTheme="majorHAnsi"/>
          <w:sz w:val="24"/>
          <w:szCs w:val="24"/>
        </w:rPr>
        <w:t>applied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672874">
        <w:rPr>
          <w:rFonts w:asciiTheme="majorHAnsi" w:hAnsiTheme="majorHAnsi"/>
          <w:sz w:val="24"/>
          <w:szCs w:val="24"/>
        </w:rPr>
        <w:t>determining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which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of the private and the </w:t>
      </w:r>
      <w:proofErr w:type="spellStart"/>
      <w:r w:rsidRPr="00672874">
        <w:rPr>
          <w:rFonts w:asciiTheme="majorHAnsi" w:hAnsiTheme="majorHAnsi"/>
          <w:sz w:val="24"/>
          <w:szCs w:val="24"/>
        </w:rPr>
        <w:t>trade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or </w:t>
      </w:r>
      <w:proofErr w:type="spellStart"/>
      <w:r w:rsidRPr="00672874">
        <w:rPr>
          <w:rFonts w:asciiTheme="majorHAnsi" w:hAnsiTheme="majorHAnsi"/>
          <w:sz w:val="24"/>
          <w:szCs w:val="24"/>
        </w:rPr>
        <w:t>professional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purposes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2874">
        <w:rPr>
          <w:rFonts w:asciiTheme="majorHAnsi" w:hAnsiTheme="majorHAnsi"/>
          <w:sz w:val="24"/>
          <w:szCs w:val="24"/>
        </w:rPr>
        <w:t>predominates</w:t>
      </w:r>
      <w:proofErr w:type="spellEnd"/>
      <w:r w:rsidRPr="00672874">
        <w:rPr>
          <w:rFonts w:asciiTheme="majorHAnsi" w:hAnsiTheme="majorHAnsi"/>
          <w:sz w:val="24"/>
          <w:szCs w:val="24"/>
        </w:rPr>
        <w:t xml:space="preserve">? </w:t>
      </w:r>
    </w:p>
    <w:p w:rsidR="003C422E" w:rsidRPr="00672874" w:rsidRDefault="003C422E" w:rsidP="0067287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85426" w:rsidRPr="00672874" w:rsidRDefault="00985426" w:rsidP="0067287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3C422E" w:rsidRPr="00672874" w:rsidRDefault="003C422E" w:rsidP="00672874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</w:pPr>
    </w:p>
    <w:p w:rsidR="00985426" w:rsidRPr="00672874" w:rsidRDefault="00985426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672874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>L’attuale orientamento interpretativo ricostruisce lo scopo in senso oggettivo e restrittivo, in base ad indagini sull’oggetto e il contenuto del contratto, le circostanze di tempo e luogo in cui l’atto viene posto in essere</w:t>
      </w:r>
      <w:r w:rsidR="000B4B43" w:rsidRPr="00672874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>.</w:t>
      </w:r>
    </w:p>
    <w:p w:rsidR="00985426" w:rsidRPr="00672874" w:rsidRDefault="00985426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Il criterio della destinazione impressa al </w:t>
      </w:r>
      <w:r w:rsidR="00441E72"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rapporto</w:t>
      </w:r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può essere a sua volta declinato in senso ampio o ristretto, ed è l’elemento su cui si appuntano le riflessioni più moderne le quali hanno concordemente raggiunto la condivisione della visione che sia l’uso privato l’essenza stessa dell’atto di consumo </w:t>
      </w:r>
      <w:proofErr w:type="spellStart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>giacchè</w:t>
      </w:r>
      <w:proofErr w:type="spellEnd"/>
      <w:r w:rsidRPr="0067287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dal carattere non professionale dell’atto si giustifica la presunzione di debolezza e la protezione rafforzata. </w:t>
      </w:r>
    </w:p>
    <w:p w:rsidR="00502B79" w:rsidRDefault="00502B79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</w:p>
    <w:p w:rsidR="00244234" w:rsidRDefault="00244234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</w:p>
    <w:p w:rsidR="00244234" w:rsidRDefault="00244234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Psd2 (dir. 2015/2366)</w:t>
      </w:r>
    </w:p>
    <w:p w:rsidR="00244234" w:rsidRDefault="00244234" w:rsidP="00244234">
      <w:pPr>
        <w:pStyle w:val="ti-art"/>
        <w:shd w:val="clear" w:color="auto" w:fill="FFFFFF"/>
        <w:spacing w:before="360" w:beforeAutospacing="0" w:after="120" w:afterAutospacing="0"/>
        <w:jc w:val="center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Article</w:t>
      </w:r>
      <w:proofErr w:type="spellEnd"/>
      <w:r>
        <w:rPr>
          <w:i/>
          <w:iCs/>
          <w:color w:val="000000"/>
        </w:rPr>
        <w:t xml:space="preserve"> 64</w:t>
      </w:r>
    </w:p>
    <w:p w:rsidR="00244234" w:rsidRDefault="00244234" w:rsidP="00244234">
      <w:pPr>
        <w:pStyle w:val="sti-art"/>
        <w:shd w:val="clear" w:color="auto" w:fill="FFFFFF"/>
        <w:spacing w:before="60" w:beforeAutospacing="0" w:after="120" w:afterAutospacing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Consent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withdrawal</w:t>
      </w:r>
      <w:proofErr w:type="spellEnd"/>
      <w:r>
        <w:rPr>
          <w:b/>
          <w:bCs/>
          <w:color w:val="000000"/>
        </w:rPr>
        <w:t xml:space="preserve"> of </w:t>
      </w:r>
      <w:proofErr w:type="spellStart"/>
      <w:r>
        <w:rPr>
          <w:b/>
          <w:bCs/>
          <w:color w:val="000000"/>
        </w:rPr>
        <w:t>consent</w:t>
      </w:r>
      <w:proofErr w:type="spellEnd"/>
    </w:p>
    <w:p w:rsidR="00244234" w:rsidRDefault="00244234" w:rsidP="00244234">
      <w:pPr>
        <w:pStyle w:val="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1.   </w:t>
      </w:r>
      <w:proofErr w:type="spellStart"/>
      <w:r>
        <w:rPr>
          <w:color w:val="000000"/>
        </w:rPr>
        <w:t>Member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to be </w:t>
      </w:r>
      <w:proofErr w:type="spellStart"/>
      <w:r>
        <w:rPr>
          <w:color w:val="000000"/>
        </w:rPr>
        <w:t>authorised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consent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execute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authorised</w:t>
      </w:r>
      <w:proofErr w:type="spellEnd"/>
      <w:r>
        <w:rPr>
          <w:color w:val="000000"/>
        </w:rPr>
        <w:t xml:space="preserve"> by the </w:t>
      </w:r>
      <w:proofErr w:type="spellStart"/>
      <w:r>
        <w:rPr>
          <w:color w:val="000000"/>
        </w:rPr>
        <w:t>payer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to or,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payer</w:t>
      </w:r>
      <w:proofErr w:type="spellEnd"/>
      <w:r>
        <w:rPr>
          <w:color w:val="000000"/>
        </w:rPr>
        <w:t xml:space="preserve"> and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provider,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execution</w:t>
      </w:r>
      <w:proofErr w:type="spellEnd"/>
      <w:r>
        <w:rPr>
          <w:color w:val="000000"/>
        </w:rPr>
        <w:t xml:space="preserve"> of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>.</w:t>
      </w:r>
    </w:p>
    <w:p w:rsidR="00244234" w:rsidRDefault="00244234" w:rsidP="00244234">
      <w:pPr>
        <w:pStyle w:val="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2.   </w:t>
      </w:r>
      <w:proofErr w:type="spellStart"/>
      <w:r>
        <w:rPr>
          <w:color w:val="000000"/>
        </w:rPr>
        <w:t>Consent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execute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or a </w:t>
      </w:r>
      <w:proofErr w:type="spellStart"/>
      <w:r>
        <w:rPr>
          <w:color w:val="000000"/>
        </w:rPr>
        <w:t>series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in the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payer</w:t>
      </w:r>
      <w:proofErr w:type="spellEnd"/>
      <w:r>
        <w:rPr>
          <w:color w:val="000000"/>
        </w:rPr>
        <w:t xml:space="preserve"> and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provider. </w:t>
      </w:r>
      <w:proofErr w:type="spellStart"/>
      <w:r>
        <w:rPr>
          <w:color w:val="000000"/>
        </w:rPr>
        <w:t>Consent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execute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via the </w:t>
      </w:r>
      <w:proofErr w:type="spellStart"/>
      <w:r>
        <w:rPr>
          <w:color w:val="000000"/>
        </w:rPr>
        <w:t>payee</w:t>
      </w:r>
      <w:proofErr w:type="spellEnd"/>
      <w:r>
        <w:rPr>
          <w:color w:val="000000"/>
        </w:rPr>
        <w:t xml:space="preserve"> or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initiation</w:t>
      </w:r>
      <w:proofErr w:type="spellEnd"/>
      <w:r>
        <w:rPr>
          <w:color w:val="000000"/>
        </w:rPr>
        <w:t xml:space="preserve"> service provider.</w:t>
      </w:r>
    </w:p>
    <w:p w:rsidR="00244234" w:rsidRDefault="00244234" w:rsidP="00244234">
      <w:pPr>
        <w:pStyle w:val="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In the </w:t>
      </w:r>
      <w:proofErr w:type="spellStart"/>
      <w:r>
        <w:rPr>
          <w:color w:val="000000"/>
        </w:rPr>
        <w:t>absence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consent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to be </w:t>
      </w:r>
      <w:proofErr w:type="spellStart"/>
      <w:r>
        <w:rPr>
          <w:color w:val="000000"/>
        </w:rPr>
        <w:t>unauthorised</w:t>
      </w:r>
      <w:proofErr w:type="spellEnd"/>
      <w:r>
        <w:rPr>
          <w:color w:val="000000"/>
        </w:rPr>
        <w:t>.</w:t>
      </w:r>
    </w:p>
    <w:p w:rsidR="00244234" w:rsidRDefault="00244234" w:rsidP="00244234">
      <w:pPr>
        <w:pStyle w:val="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3.   </w:t>
      </w:r>
      <w:proofErr w:type="spellStart"/>
      <w:r>
        <w:rPr>
          <w:color w:val="000000"/>
        </w:rPr>
        <w:t>Consent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withdrawn</w:t>
      </w:r>
      <w:proofErr w:type="spellEnd"/>
      <w:r>
        <w:rPr>
          <w:color w:val="000000"/>
        </w:rPr>
        <w:t xml:space="preserve"> by the </w:t>
      </w:r>
      <w:proofErr w:type="spellStart"/>
      <w:r>
        <w:rPr>
          <w:color w:val="000000"/>
        </w:rPr>
        <w:t>payer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time,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later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the moment of </w:t>
      </w:r>
      <w:proofErr w:type="spellStart"/>
      <w:r>
        <w:rPr>
          <w:color w:val="000000"/>
        </w:rPr>
        <w:t>irrevocability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accordance</w:t>
      </w:r>
      <w:proofErr w:type="spellEnd"/>
      <w:r>
        <w:rPr>
          <w:color w:val="000000"/>
        </w:rPr>
        <w:t xml:space="preserve"> with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 80. </w:t>
      </w:r>
      <w:proofErr w:type="spellStart"/>
      <w:r>
        <w:rPr>
          <w:color w:val="000000"/>
        </w:rPr>
        <w:t>Consent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execute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series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withdrawn</w:t>
      </w:r>
      <w:proofErr w:type="spellEnd"/>
      <w:r>
        <w:rPr>
          <w:color w:val="000000"/>
        </w:rPr>
        <w:t xml:space="preserve">, in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case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future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to be </w:t>
      </w:r>
      <w:proofErr w:type="spellStart"/>
      <w:r>
        <w:rPr>
          <w:color w:val="000000"/>
        </w:rPr>
        <w:t>unauthorised</w:t>
      </w:r>
      <w:proofErr w:type="spellEnd"/>
      <w:r>
        <w:rPr>
          <w:color w:val="000000"/>
        </w:rPr>
        <w:t>.</w:t>
      </w:r>
    </w:p>
    <w:p w:rsidR="00244234" w:rsidRDefault="00244234" w:rsidP="00244234">
      <w:pPr>
        <w:pStyle w:val="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   The procedure for </w:t>
      </w:r>
      <w:proofErr w:type="spellStart"/>
      <w:r>
        <w:rPr>
          <w:color w:val="000000"/>
        </w:rPr>
        <w:t>giving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agreed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payer</w:t>
      </w:r>
      <w:proofErr w:type="spellEnd"/>
      <w:r>
        <w:rPr>
          <w:color w:val="000000"/>
        </w:rPr>
        <w:t xml:space="preserve"> and the </w:t>
      </w:r>
      <w:proofErr w:type="spellStart"/>
      <w:r>
        <w:rPr>
          <w:color w:val="000000"/>
        </w:rPr>
        <w:t>relevant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provider(s).</w:t>
      </w:r>
    </w:p>
    <w:p w:rsidR="00244234" w:rsidRPr="00672874" w:rsidRDefault="00244234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</w:p>
    <w:p w:rsidR="00D84480" w:rsidRPr="00D84480" w:rsidRDefault="00D84480" w:rsidP="00D84480">
      <w:pPr>
        <w:shd w:val="clear" w:color="auto" w:fill="FFFFFF"/>
        <w:spacing w:before="36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69</w:t>
      </w:r>
    </w:p>
    <w:p w:rsidR="00D84480" w:rsidRPr="00D84480" w:rsidRDefault="00D84480" w:rsidP="00D84480">
      <w:pPr>
        <w:shd w:val="clear" w:color="auto" w:fill="FFFFFF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Obligations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service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user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in relation </w:t>
      </w:r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to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>instruments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 and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>personalised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 security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>credentials</w:t>
      </w:r>
      <w:proofErr w:type="spellEnd"/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1.   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entitled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use a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instrument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9337"/>
      </w:tblGrid>
      <w:tr w:rsidR="00D84480" w:rsidRPr="00D84480" w:rsidTr="00D84480">
        <w:tc>
          <w:tcPr>
            <w:tcW w:w="0" w:type="auto"/>
            <w:shd w:val="clear" w:color="auto" w:fill="FFFFFF"/>
            <w:hideMark/>
          </w:tcPr>
          <w:p w:rsidR="00D84480" w:rsidRPr="00D84480" w:rsidRDefault="00D84480" w:rsidP="00D84480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lastRenderedPageBreak/>
              <w:t>(a)</w:t>
            </w:r>
          </w:p>
        </w:tc>
        <w:tc>
          <w:tcPr>
            <w:tcW w:w="0" w:type="auto"/>
            <w:shd w:val="clear" w:color="auto" w:fill="FFFFFF"/>
            <w:hideMark/>
          </w:tcPr>
          <w:p w:rsidR="00D84480" w:rsidRPr="00D84480" w:rsidRDefault="00D84480" w:rsidP="00D84480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proofErr w:type="gram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use the</w:t>
            </w:r>
            <w:proofErr w:type="gram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payment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instrument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in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accordance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with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terms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governing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issue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and use of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payment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instrument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,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which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must be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objective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, non-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discriminatory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and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proportionate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;</w:t>
            </w:r>
          </w:p>
        </w:tc>
      </w:tr>
    </w:tbl>
    <w:p w:rsidR="00D84480" w:rsidRPr="00D84480" w:rsidRDefault="00D84480" w:rsidP="00D844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it-IT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9323"/>
      </w:tblGrid>
      <w:tr w:rsidR="00D84480" w:rsidRPr="00D84480" w:rsidTr="00D84480">
        <w:tc>
          <w:tcPr>
            <w:tcW w:w="0" w:type="auto"/>
            <w:shd w:val="clear" w:color="auto" w:fill="FFFFFF"/>
            <w:hideMark/>
          </w:tcPr>
          <w:p w:rsidR="00D84480" w:rsidRPr="00D84480" w:rsidRDefault="00D84480" w:rsidP="00D84480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(b)</w:t>
            </w:r>
          </w:p>
        </w:tc>
        <w:tc>
          <w:tcPr>
            <w:tcW w:w="0" w:type="auto"/>
            <w:shd w:val="clear" w:color="auto" w:fill="FFFFFF"/>
            <w:hideMark/>
          </w:tcPr>
          <w:p w:rsidR="00D84480" w:rsidRPr="00D84480" w:rsidRDefault="00D84480" w:rsidP="00D84480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notify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payment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service provider, or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entity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specified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by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latter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,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without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undue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delay on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becoming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aware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of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loss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,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theft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,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misappropriation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or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unauthorised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use of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payment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instrument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it-IT"/>
              </w:rPr>
              <w:t>.</w:t>
            </w:r>
          </w:p>
        </w:tc>
      </w:tr>
    </w:tbl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2.   For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purposes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point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(a) of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paragraph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1,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particular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receipt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a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instrument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take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reasonable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steps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keep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personalised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security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credentials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safe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995242" w:rsidRPr="00672874" w:rsidRDefault="00995242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D84480" w:rsidRDefault="00D84480" w:rsidP="00D84480">
      <w:pPr>
        <w:pStyle w:val="ti-art"/>
        <w:shd w:val="clear" w:color="auto" w:fill="FFFFFF"/>
        <w:spacing w:before="360" w:beforeAutospacing="0" w:after="120" w:afterAutospacing="0"/>
        <w:jc w:val="center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Article</w:t>
      </w:r>
      <w:proofErr w:type="spellEnd"/>
      <w:r>
        <w:rPr>
          <w:i/>
          <w:iCs/>
          <w:color w:val="000000"/>
        </w:rPr>
        <w:t xml:space="preserve"> 72</w:t>
      </w:r>
    </w:p>
    <w:p w:rsidR="00D84480" w:rsidRDefault="00D84480" w:rsidP="00D84480">
      <w:pPr>
        <w:pStyle w:val="sti-art"/>
        <w:shd w:val="clear" w:color="auto" w:fill="FFFFFF"/>
        <w:spacing w:before="60" w:beforeAutospacing="0" w:after="120" w:afterAutospacing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Evidence</w:t>
      </w:r>
      <w:proofErr w:type="spellEnd"/>
      <w:r>
        <w:rPr>
          <w:b/>
          <w:bCs/>
          <w:color w:val="000000"/>
        </w:rPr>
        <w:t xml:space="preserve"> on </w:t>
      </w:r>
      <w:proofErr w:type="spellStart"/>
      <w:r>
        <w:rPr>
          <w:b/>
          <w:bCs/>
          <w:color w:val="000000"/>
        </w:rPr>
        <w:t>authentication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execution</w:t>
      </w:r>
      <w:proofErr w:type="spellEnd"/>
      <w:r>
        <w:rPr>
          <w:b/>
          <w:bCs/>
          <w:color w:val="000000"/>
        </w:rPr>
        <w:t xml:space="preserve"> of </w:t>
      </w:r>
      <w:proofErr w:type="spellStart"/>
      <w:r>
        <w:rPr>
          <w:b/>
          <w:bCs/>
          <w:color w:val="000000"/>
        </w:rPr>
        <w:t>payment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transactions</w:t>
      </w:r>
      <w:proofErr w:type="spellEnd"/>
    </w:p>
    <w:p w:rsidR="00D84480" w:rsidRDefault="00D84480" w:rsidP="00D84480">
      <w:pPr>
        <w:pStyle w:val="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1.   </w:t>
      </w:r>
      <w:proofErr w:type="spellStart"/>
      <w:r>
        <w:rPr>
          <w:color w:val="000000"/>
        </w:rPr>
        <w:t>Member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</w:t>
      </w:r>
      <w:proofErr w:type="spellStart"/>
      <w:r>
        <w:rPr>
          <w:color w:val="000000"/>
        </w:rPr>
        <w:t>user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authorised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executed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claims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correctly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executed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for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provider to prove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authenticated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accurately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entered</w:t>
      </w:r>
      <w:proofErr w:type="spellEnd"/>
      <w:r>
        <w:rPr>
          <w:color w:val="000000"/>
        </w:rPr>
        <w:t xml:space="preserve"> in the accounts and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by a </w:t>
      </w:r>
      <w:proofErr w:type="spellStart"/>
      <w:r>
        <w:rPr>
          <w:color w:val="000000"/>
        </w:rPr>
        <w:t>technical</w:t>
      </w:r>
      <w:proofErr w:type="spellEnd"/>
      <w:r>
        <w:rPr>
          <w:color w:val="000000"/>
        </w:rPr>
        <w:t xml:space="preserve"> breakdown or some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deficiency</w:t>
      </w:r>
      <w:proofErr w:type="spellEnd"/>
      <w:r>
        <w:rPr>
          <w:color w:val="000000"/>
        </w:rPr>
        <w:t xml:space="preserve"> of the service </w:t>
      </w:r>
      <w:proofErr w:type="spellStart"/>
      <w:r>
        <w:rPr>
          <w:color w:val="000000"/>
        </w:rPr>
        <w:t>provided</w:t>
      </w:r>
      <w:proofErr w:type="spellEnd"/>
      <w:r>
        <w:rPr>
          <w:color w:val="000000"/>
        </w:rPr>
        <w:t xml:space="preserve"> by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provider.</w:t>
      </w:r>
    </w:p>
    <w:p w:rsidR="00D84480" w:rsidRDefault="00D84480" w:rsidP="00D84480">
      <w:pPr>
        <w:pStyle w:val="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initiation</w:t>
      </w:r>
      <w:proofErr w:type="spellEnd"/>
      <w:r>
        <w:rPr>
          <w:color w:val="000000"/>
        </w:rPr>
        <w:t xml:space="preserve"> service provider, the </w:t>
      </w:r>
      <w:proofErr w:type="spellStart"/>
      <w:r>
        <w:rPr>
          <w:color w:val="000000"/>
        </w:rPr>
        <w:t>burden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be on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initiation</w:t>
      </w:r>
      <w:proofErr w:type="spellEnd"/>
      <w:r>
        <w:rPr>
          <w:color w:val="000000"/>
        </w:rPr>
        <w:t xml:space="preserve"> service provider to prove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sphere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competence</w:t>
      </w:r>
      <w:proofErr w:type="spellEnd"/>
      <w:r>
        <w:rPr>
          <w:color w:val="000000"/>
        </w:rPr>
        <w:t xml:space="preserve">,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authenticated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accurately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recorded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by a </w:t>
      </w:r>
      <w:proofErr w:type="spellStart"/>
      <w:r>
        <w:rPr>
          <w:color w:val="000000"/>
        </w:rPr>
        <w:t>technical</w:t>
      </w:r>
      <w:proofErr w:type="spellEnd"/>
      <w:r>
        <w:rPr>
          <w:color w:val="000000"/>
        </w:rPr>
        <w:t xml:space="preserve"> breakdown or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linked</w:t>
      </w:r>
      <w:proofErr w:type="spellEnd"/>
      <w:r>
        <w:rPr>
          <w:color w:val="000000"/>
        </w:rPr>
        <w:t xml:space="preserve"> to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of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charge</w:t>
      </w:r>
      <w:proofErr w:type="spellEnd"/>
      <w:r>
        <w:rPr>
          <w:color w:val="000000"/>
        </w:rPr>
        <w:t>.</w:t>
      </w:r>
    </w:p>
    <w:p w:rsidR="00D84480" w:rsidRDefault="00D84480" w:rsidP="00D84480">
      <w:pPr>
        <w:pStyle w:val="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2.   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</w:t>
      </w:r>
      <w:proofErr w:type="spellStart"/>
      <w:r>
        <w:rPr>
          <w:color w:val="000000"/>
        </w:rPr>
        <w:t>user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authorised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executed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, the use of a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recorded</w:t>
      </w:r>
      <w:proofErr w:type="spellEnd"/>
      <w:r>
        <w:rPr>
          <w:color w:val="000000"/>
        </w:rPr>
        <w:t xml:space="preserve"> by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provider,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initiation</w:t>
      </w:r>
      <w:proofErr w:type="spellEnd"/>
      <w:r>
        <w:rPr>
          <w:color w:val="000000"/>
        </w:rPr>
        <w:t xml:space="preserve"> service provider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appropriate,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itself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necessarily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sufficient</w:t>
      </w:r>
      <w:proofErr w:type="spellEnd"/>
      <w:r>
        <w:rPr>
          <w:color w:val="000000"/>
        </w:rPr>
        <w:t xml:space="preserve"> to prove </w:t>
      </w:r>
      <w:proofErr w:type="spellStart"/>
      <w:r>
        <w:rPr>
          <w:color w:val="000000"/>
        </w:rPr>
        <w:t>either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authorised</w:t>
      </w:r>
      <w:proofErr w:type="spellEnd"/>
      <w:r>
        <w:rPr>
          <w:color w:val="000000"/>
        </w:rPr>
        <w:t xml:space="preserve"> by the </w:t>
      </w:r>
      <w:proofErr w:type="spellStart"/>
      <w:r>
        <w:rPr>
          <w:color w:val="000000"/>
        </w:rPr>
        <w:t>payer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payer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fraudulently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failed</w:t>
      </w:r>
      <w:proofErr w:type="spellEnd"/>
      <w:r>
        <w:rPr>
          <w:color w:val="000000"/>
        </w:rPr>
        <w:t xml:space="preserve"> with </w:t>
      </w:r>
      <w:proofErr w:type="spellStart"/>
      <w:r>
        <w:rPr>
          <w:color w:val="000000"/>
        </w:rPr>
        <w:t>intent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gross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negligence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fulfil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or more of the </w:t>
      </w:r>
      <w:proofErr w:type="spellStart"/>
      <w:r>
        <w:rPr>
          <w:color w:val="000000"/>
        </w:rPr>
        <w:t>obligations</w:t>
      </w:r>
      <w:proofErr w:type="spellEnd"/>
      <w:r>
        <w:rPr>
          <w:color w:val="000000"/>
        </w:rPr>
        <w:t xml:space="preserve"> under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 69.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provider,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appropriate,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initiation</w:t>
      </w:r>
      <w:proofErr w:type="spellEnd"/>
      <w:r>
        <w:rPr>
          <w:color w:val="000000"/>
        </w:rPr>
        <w:t xml:space="preserve"> service provider,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to prove </w:t>
      </w:r>
      <w:proofErr w:type="spellStart"/>
      <w:r>
        <w:rPr>
          <w:color w:val="000000"/>
        </w:rPr>
        <w:t>fraud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gross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negligence</w:t>
      </w:r>
      <w:proofErr w:type="spellEnd"/>
      <w:r>
        <w:rPr>
          <w:color w:val="000000"/>
        </w:rPr>
        <w:t xml:space="preserve"> on part of the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service </w:t>
      </w:r>
      <w:proofErr w:type="spellStart"/>
      <w:r>
        <w:rPr>
          <w:color w:val="000000"/>
        </w:rPr>
        <w:t>user</w:t>
      </w:r>
      <w:proofErr w:type="spellEnd"/>
      <w:r>
        <w:rPr>
          <w:color w:val="000000"/>
        </w:rPr>
        <w:t>.</w:t>
      </w:r>
    </w:p>
    <w:p w:rsidR="00D84480" w:rsidRPr="00D84480" w:rsidRDefault="00D84480" w:rsidP="00D84480">
      <w:pPr>
        <w:shd w:val="clear" w:color="auto" w:fill="FFFFFF"/>
        <w:spacing w:before="36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73</w:t>
      </w:r>
    </w:p>
    <w:p w:rsidR="00D84480" w:rsidRPr="00D84480" w:rsidRDefault="00D84480" w:rsidP="00D84480">
      <w:pPr>
        <w:shd w:val="clear" w:color="auto" w:fill="FFFFFF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service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provider’s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liability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for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transactions</w:t>
      </w:r>
      <w:proofErr w:type="spellEnd"/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1.   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Member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States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ensure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that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without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prejudice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71, in the case of an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refunds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amount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immediately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and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event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later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than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by the end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following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business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after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notified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except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reasonable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grounds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suspecting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fraud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communicates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those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grounds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relevant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national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authority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writing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applicable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restore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debited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account to the state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which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would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have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taken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place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This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also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ensure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that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credit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value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date for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account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be no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later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than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date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amount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debited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2.   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initiated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through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initiation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provider, the account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servicing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refund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immediately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and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event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later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than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by the end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following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business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amount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applicable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restore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debited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account to the state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which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would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have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taken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place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If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initiation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liable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immediately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compensate the account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servicing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request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losses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incurred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sums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paid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result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refund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including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amount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accordance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with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72(1),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burden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be on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initiation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to prove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that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within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competence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authenticated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accurately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recorded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affected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by a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technical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breakdown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other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deficiency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linked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of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which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charge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3.   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Further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financial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compensation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determined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accordance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with the law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applicable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contract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concluded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between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or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contract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concluded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between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initiation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if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applicable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36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74</w:t>
      </w:r>
    </w:p>
    <w:p w:rsidR="00D84480" w:rsidRPr="00D84480" w:rsidRDefault="00D84480" w:rsidP="00D84480">
      <w:pPr>
        <w:shd w:val="clear" w:color="auto" w:fill="FFFFFF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liability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for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transactions</w:t>
      </w:r>
      <w:proofErr w:type="spellEnd"/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1.   By way of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derogation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from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73,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obliged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bear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losses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relating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up to a maximum of EUR 50,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resulting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from the use of a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lost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stolen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instrument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from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misappropriation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a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instrument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The first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subparagraph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if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9337"/>
      </w:tblGrid>
      <w:tr w:rsidR="00D84480" w:rsidRPr="00D84480" w:rsidTr="00D84480">
        <w:tc>
          <w:tcPr>
            <w:tcW w:w="0" w:type="auto"/>
            <w:shd w:val="clear" w:color="auto" w:fill="FFFFFF"/>
            <w:hideMark/>
          </w:tcPr>
          <w:p w:rsidR="00D84480" w:rsidRPr="00D84480" w:rsidRDefault="00D84480" w:rsidP="00D84480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</w:pPr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(a)</w:t>
            </w:r>
          </w:p>
        </w:tc>
        <w:tc>
          <w:tcPr>
            <w:tcW w:w="0" w:type="auto"/>
            <w:shd w:val="clear" w:color="auto" w:fill="FFFFFF"/>
            <w:hideMark/>
          </w:tcPr>
          <w:p w:rsidR="00D84480" w:rsidRPr="00D84480" w:rsidRDefault="00D84480" w:rsidP="00D84480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</w:pPr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loss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theft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or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misappropriation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of a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payment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instrument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was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not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detectable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to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payer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prior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to a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payment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except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where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payer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has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acted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fraudulently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; or</w:t>
            </w:r>
          </w:p>
        </w:tc>
      </w:tr>
    </w:tbl>
    <w:p w:rsidR="00D84480" w:rsidRPr="00D84480" w:rsidRDefault="00D84480" w:rsidP="00D844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9323"/>
      </w:tblGrid>
      <w:tr w:rsidR="00D84480" w:rsidRPr="00D84480" w:rsidTr="00D84480">
        <w:tc>
          <w:tcPr>
            <w:tcW w:w="0" w:type="auto"/>
            <w:shd w:val="clear" w:color="auto" w:fill="FFFFFF"/>
            <w:hideMark/>
          </w:tcPr>
          <w:p w:rsidR="00D84480" w:rsidRPr="00D84480" w:rsidRDefault="00D84480" w:rsidP="00D84480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</w:pPr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(b)</w:t>
            </w:r>
          </w:p>
        </w:tc>
        <w:tc>
          <w:tcPr>
            <w:tcW w:w="0" w:type="auto"/>
            <w:shd w:val="clear" w:color="auto" w:fill="FFFFFF"/>
            <w:hideMark/>
          </w:tcPr>
          <w:p w:rsidR="00D84480" w:rsidRPr="00D84480" w:rsidRDefault="00D84480" w:rsidP="00D84480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</w:pPr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the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loss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was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caused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by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acts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or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lack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action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of an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employee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, agent or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branch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of a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payment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service provider or of an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entity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to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which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its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activities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were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outsourced</w:t>
            </w:r>
            <w:proofErr w:type="spellEnd"/>
            <w:r w:rsidRPr="00D844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</w:tbl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bear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losses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relating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unauthorised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if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they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incurred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by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acting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fraudulently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failing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fulfil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more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obligations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set out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69 with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gross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negligence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such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the maximum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amount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referred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in the first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subparagraph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neither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fraudulently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intentionally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failed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fulfil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obligations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69,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Member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States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reduce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liability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referred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this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paragraph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taking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into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account,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particular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the nature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personalised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security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credentials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specific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circumstances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which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instrument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lost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stolen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misappropriated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2.   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require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strong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customer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authentication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bear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financial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losses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unless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fraudulently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fails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accept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strong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customer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authentication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refund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financial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damage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caused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provider.</w:t>
      </w:r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3.   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bear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financial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consequences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resulting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from use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lost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stolen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misappropriated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instrument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after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notification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accordance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with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point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(b) of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69(1),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except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fraudulently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If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provide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appropriate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means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notification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times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a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lost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stolen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misappropriated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instrument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required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point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(c) of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70(1),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liable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financial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consequences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resulting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from use of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that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instrument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except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fraudulently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36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Article</w:t>
      </w:r>
      <w:proofErr w:type="spellEnd"/>
      <w:r w:rsidRPr="00D84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75</w:t>
      </w:r>
    </w:p>
    <w:p w:rsidR="00D84480" w:rsidRPr="00D84480" w:rsidRDefault="00D84480" w:rsidP="00D84480">
      <w:pPr>
        <w:shd w:val="clear" w:color="auto" w:fill="FFFFFF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transactions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amount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is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known</w:t>
      </w:r>
      <w:proofErr w:type="spellEnd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in </w:t>
      </w:r>
      <w:proofErr w:type="spellStart"/>
      <w:r w:rsidRPr="00D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advance</w:t>
      </w:r>
      <w:proofErr w:type="spellEnd"/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1.   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initiated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by or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through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context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a card-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based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exact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amount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known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moment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gives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to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execute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block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funds on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account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if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given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exact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amount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funds to be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blocked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84480" w:rsidRPr="00D84480" w:rsidRDefault="00D84480" w:rsidP="00D844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2.   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service provider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shall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release the funds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blocked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on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payer’s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account under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paragraph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without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undue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delay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after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receipt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information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about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exact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amount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transaction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latest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immediately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after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receipt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payment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order</w:t>
      </w:r>
      <w:proofErr w:type="spellEnd"/>
      <w:r w:rsidRPr="00D844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995242" w:rsidRPr="00672874" w:rsidRDefault="00995242" w:rsidP="0067287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</w:p>
    <w:sectPr w:rsidR="00995242" w:rsidRPr="0067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D04" w:rsidRDefault="00170D04" w:rsidP="00985426">
      <w:pPr>
        <w:spacing w:after="0" w:line="240" w:lineRule="auto"/>
      </w:pPr>
      <w:r>
        <w:separator/>
      </w:r>
    </w:p>
  </w:endnote>
  <w:endnote w:type="continuationSeparator" w:id="0">
    <w:p w:rsidR="00170D04" w:rsidRDefault="00170D04" w:rsidP="0098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D04" w:rsidRDefault="00170D04" w:rsidP="00985426">
      <w:pPr>
        <w:spacing w:after="0" w:line="240" w:lineRule="auto"/>
      </w:pPr>
      <w:r>
        <w:separator/>
      </w:r>
    </w:p>
  </w:footnote>
  <w:footnote w:type="continuationSeparator" w:id="0">
    <w:p w:rsidR="00170D04" w:rsidRDefault="00170D04" w:rsidP="0098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563"/>
    <w:multiLevelType w:val="hybridMultilevel"/>
    <w:tmpl w:val="0372B01A"/>
    <w:lvl w:ilvl="0" w:tplc="D59EBDD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B3E"/>
    <w:multiLevelType w:val="multilevel"/>
    <w:tmpl w:val="ECF887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C68D3"/>
    <w:multiLevelType w:val="multilevel"/>
    <w:tmpl w:val="D896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24E94"/>
    <w:multiLevelType w:val="hybridMultilevel"/>
    <w:tmpl w:val="49162646"/>
    <w:lvl w:ilvl="0" w:tplc="F29270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230E"/>
    <w:multiLevelType w:val="hybridMultilevel"/>
    <w:tmpl w:val="304A05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67D2"/>
    <w:multiLevelType w:val="hybridMultilevel"/>
    <w:tmpl w:val="34027856"/>
    <w:lvl w:ilvl="0" w:tplc="72885CD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0A63"/>
    <w:multiLevelType w:val="multilevel"/>
    <w:tmpl w:val="4DB218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82449"/>
    <w:multiLevelType w:val="hybridMultilevel"/>
    <w:tmpl w:val="49AE0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42"/>
    <w:rsid w:val="00062005"/>
    <w:rsid w:val="00072580"/>
    <w:rsid w:val="000A690A"/>
    <w:rsid w:val="000B4B43"/>
    <w:rsid w:val="000C05E7"/>
    <w:rsid w:val="00141C36"/>
    <w:rsid w:val="00170D04"/>
    <w:rsid w:val="00190721"/>
    <w:rsid w:val="0019618D"/>
    <w:rsid w:val="00244234"/>
    <w:rsid w:val="002444C1"/>
    <w:rsid w:val="00246B93"/>
    <w:rsid w:val="002B3DC5"/>
    <w:rsid w:val="00342CC1"/>
    <w:rsid w:val="003C422E"/>
    <w:rsid w:val="00405980"/>
    <w:rsid w:val="00441E72"/>
    <w:rsid w:val="004D5C94"/>
    <w:rsid w:val="00502B79"/>
    <w:rsid w:val="00506017"/>
    <w:rsid w:val="00517FCE"/>
    <w:rsid w:val="00672874"/>
    <w:rsid w:val="00674648"/>
    <w:rsid w:val="006E6587"/>
    <w:rsid w:val="00702585"/>
    <w:rsid w:val="00707BA7"/>
    <w:rsid w:val="00752B8D"/>
    <w:rsid w:val="007E4D15"/>
    <w:rsid w:val="008219FE"/>
    <w:rsid w:val="008677A4"/>
    <w:rsid w:val="008C603E"/>
    <w:rsid w:val="00985426"/>
    <w:rsid w:val="00995242"/>
    <w:rsid w:val="00A72923"/>
    <w:rsid w:val="00B43D95"/>
    <w:rsid w:val="00B7694E"/>
    <w:rsid w:val="00B938CD"/>
    <w:rsid w:val="00C16858"/>
    <w:rsid w:val="00C175D6"/>
    <w:rsid w:val="00C820E8"/>
    <w:rsid w:val="00D84480"/>
    <w:rsid w:val="00E00F0A"/>
    <w:rsid w:val="00F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0F9E"/>
  <w15:docId w15:val="{02ACA843-137E-324B-8203-371D4D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2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99524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77A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77A4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677A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8542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8542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85426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E0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-art">
    <w:name w:val="ti-art"/>
    <w:basedOn w:val="Normale"/>
    <w:rsid w:val="002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-art">
    <w:name w:val="sti-art"/>
    <w:basedOn w:val="Normale"/>
    <w:rsid w:val="002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basedOn w:val="Normale"/>
    <w:rsid w:val="002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m.ghisalberti</dc:creator>
  <cp:lastModifiedBy>Maria Cecilia Paglietti</cp:lastModifiedBy>
  <cp:revision>7</cp:revision>
  <dcterms:created xsi:type="dcterms:W3CDTF">2020-01-30T13:50:00Z</dcterms:created>
  <dcterms:modified xsi:type="dcterms:W3CDTF">2020-01-31T09:09:00Z</dcterms:modified>
</cp:coreProperties>
</file>