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B3A" w:rsidRPr="00AA2A6C" w:rsidRDefault="00AA2A6C" w:rsidP="00AA2A6C">
      <w:pPr>
        <w:jc w:val="center"/>
        <w:rPr>
          <w:b/>
          <w:smallCaps/>
        </w:rPr>
      </w:pPr>
      <w:r w:rsidRPr="00AA2A6C">
        <w:rPr>
          <w:b/>
          <w:smallCaps/>
        </w:rPr>
        <w:t>template for the c</w:t>
      </w:r>
      <w:r w:rsidR="001B4CE1" w:rsidRPr="00AA2A6C">
        <w:rPr>
          <w:b/>
          <w:smallCaps/>
        </w:rPr>
        <w:t>ase</w:t>
      </w:r>
      <w:r w:rsidRPr="00AA2A6C">
        <w:rPr>
          <w:b/>
          <w:smallCaps/>
        </w:rPr>
        <w:t>s database</w:t>
      </w:r>
    </w:p>
    <w:p w:rsidR="009E0B3A" w:rsidRDefault="009E0B3A" w:rsidP="009E0B3A"/>
    <w:p w:rsidR="00EC36A8" w:rsidRPr="00E97DB1" w:rsidRDefault="00EC36A8" w:rsidP="009E0B3A"/>
    <w:p w:rsidR="00B122B0" w:rsidRPr="00DA1D34" w:rsidRDefault="00B122B0" w:rsidP="00B122B0">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i/>
          <w:color w:val="000000" w:themeColor="text1"/>
        </w:rPr>
      </w:pPr>
      <w:r w:rsidRPr="00E97DB1">
        <w:rPr>
          <w:i/>
        </w:rPr>
        <w:t>Case name</w:t>
      </w:r>
      <w:r w:rsidR="00DA1D34">
        <w:rPr>
          <w:i/>
        </w:rPr>
        <w:t xml:space="preserve"> </w:t>
      </w:r>
      <w:r w:rsidR="00AB24AA">
        <w:rPr>
          <w:i/>
        </w:rPr>
        <w:t>(date)</w:t>
      </w:r>
      <w:r w:rsidRPr="00E97DB1">
        <w:rPr>
          <w:i/>
        </w:rPr>
        <w:t xml:space="preserve">: </w:t>
      </w:r>
      <w:r w:rsidR="00DA1D34">
        <w:rPr>
          <w:i/>
        </w:rPr>
        <w:t>(</w:t>
      </w:r>
      <w:r w:rsidR="00DA1D34">
        <w:rPr>
          <w:i/>
          <w:color w:val="FF0000"/>
        </w:rPr>
        <w:t>anonymized</w:t>
      </w:r>
      <w:r w:rsidR="00DA1D34">
        <w:rPr>
          <w:i/>
          <w:color w:val="000000" w:themeColor="text1"/>
        </w:rPr>
        <w:t>)</w:t>
      </w:r>
    </w:p>
    <w:p w:rsidR="00B122B0" w:rsidRDefault="00BF2CF4" w:rsidP="00B122B0">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i/>
        </w:rPr>
      </w:pPr>
      <w:r>
        <w:rPr>
          <w:i/>
        </w:rPr>
        <w:t>Keywords:</w:t>
      </w:r>
    </w:p>
    <w:p w:rsidR="00E263F3" w:rsidRPr="00E97DB1" w:rsidRDefault="00E263F3" w:rsidP="00B122B0">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i/>
        </w:rPr>
      </w:pPr>
      <w:r>
        <w:rPr>
          <w:i/>
        </w:rPr>
        <w:t xml:space="preserve">Facts </w:t>
      </w:r>
      <w:r w:rsidRPr="00E62221">
        <w:rPr>
          <w:i/>
          <w:color w:val="FF0000"/>
        </w:rPr>
        <w:t>(</w:t>
      </w:r>
      <w:r w:rsidR="007E3FC0" w:rsidRPr="007E3FC0">
        <w:rPr>
          <w:i/>
          <w:color w:val="FF0000"/>
        </w:rPr>
        <w:t>The very last sentence/paragraph of this section should introduce the legal question raised by the consumer’s request</w:t>
      </w:r>
      <w:r w:rsidR="00E62221" w:rsidRPr="00E62221">
        <w:rPr>
          <w:i/>
          <w:color w:val="FF0000"/>
        </w:rPr>
        <w:t>)</w:t>
      </w:r>
      <w:r w:rsidRPr="00E62221">
        <w:rPr>
          <w:i/>
          <w:color w:val="FF0000"/>
        </w:rPr>
        <w:t>:</w:t>
      </w:r>
    </w:p>
    <w:p w:rsidR="00B122B0" w:rsidRPr="00E97DB1" w:rsidRDefault="00B122B0" w:rsidP="00B122B0">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i/>
        </w:rPr>
      </w:pPr>
      <w:r w:rsidRPr="00E97DB1">
        <w:rPr>
          <w:i/>
        </w:rPr>
        <w:t>Legal analysis</w:t>
      </w:r>
      <w:r w:rsidR="00E263F3">
        <w:rPr>
          <w:i/>
        </w:rPr>
        <w:t xml:space="preserve"> </w:t>
      </w:r>
      <w:r w:rsidR="00E263F3" w:rsidRPr="00E62221">
        <w:rPr>
          <w:i/>
          <w:color w:val="FF0000"/>
        </w:rPr>
        <w:t>(both domestic legislation and EU legislation can be quoted. As consumer law vastly stems from EU directives, regulations and cases, all of these should be referred to when possible)</w:t>
      </w:r>
      <w:r w:rsidR="0078786A">
        <w:rPr>
          <w:i/>
          <w:color w:val="FF0000"/>
        </w:rPr>
        <w:t>:</w:t>
      </w:r>
    </w:p>
    <w:p w:rsidR="00B122B0" w:rsidRDefault="00B122B0" w:rsidP="00B122B0">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i/>
        </w:rPr>
      </w:pPr>
      <w:r w:rsidRPr="00E97DB1">
        <w:rPr>
          <w:i/>
        </w:rPr>
        <w:t>Legal solution:</w:t>
      </w:r>
    </w:p>
    <w:p w:rsidR="00E263F3" w:rsidRPr="00E97DB1" w:rsidRDefault="00E263F3" w:rsidP="00B122B0">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i/>
        </w:rPr>
      </w:pPr>
      <w:r>
        <w:rPr>
          <w:i/>
        </w:rPr>
        <w:t>Solution suggested by the Clinic</w:t>
      </w:r>
      <w:r w:rsidR="00E62221">
        <w:rPr>
          <w:i/>
        </w:rPr>
        <w:t xml:space="preserve"> </w:t>
      </w:r>
      <w:r w:rsidR="00E62221" w:rsidRPr="00143998">
        <w:rPr>
          <w:i/>
          <w:color w:val="FF0000"/>
        </w:rPr>
        <w:t>(this</w:t>
      </w:r>
      <w:r w:rsidR="00C85306">
        <w:rPr>
          <w:i/>
          <w:color w:val="FF0000"/>
        </w:rPr>
        <w:t xml:space="preserve"> section</w:t>
      </w:r>
      <w:r w:rsidR="00E62221" w:rsidRPr="00143998">
        <w:rPr>
          <w:i/>
          <w:color w:val="FF0000"/>
        </w:rPr>
        <w:t xml:space="preserve"> should </w:t>
      </w:r>
      <w:r w:rsidR="00C85306">
        <w:rPr>
          <w:i/>
          <w:color w:val="FF0000"/>
        </w:rPr>
        <w:t>present</w:t>
      </w:r>
      <w:r w:rsidR="00E62221" w:rsidRPr="00143998">
        <w:rPr>
          <w:i/>
          <w:color w:val="FF0000"/>
        </w:rPr>
        <w:t xml:space="preserve"> the</w:t>
      </w:r>
      <w:r w:rsidR="00C85306">
        <w:rPr>
          <w:i/>
          <w:color w:val="FF0000"/>
        </w:rPr>
        <w:t xml:space="preserve"> proposal made by the</w:t>
      </w:r>
      <w:r w:rsidR="00E62221" w:rsidRPr="00143998">
        <w:rPr>
          <w:i/>
          <w:color w:val="FF0000"/>
        </w:rPr>
        <w:t xml:space="preserve"> clinic </w:t>
      </w:r>
      <w:r w:rsidR="00C85306">
        <w:rPr>
          <w:i/>
          <w:color w:val="FF0000"/>
        </w:rPr>
        <w:t>to the consumer, which may or not correspond to the</w:t>
      </w:r>
      <w:r w:rsidR="00E62221" w:rsidRPr="00143998">
        <w:rPr>
          <w:i/>
          <w:color w:val="FF0000"/>
        </w:rPr>
        <w:t xml:space="preserve"> theoretical legal solution. For instance, </w:t>
      </w:r>
      <w:r w:rsidR="00C85306">
        <w:rPr>
          <w:i/>
          <w:color w:val="FF0000"/>
        </w:rPr>
        <w:t>as stated in</w:t>
      </w:r>
      <w:r w:rsidR="00C85306" w:rsidRPr="00143998">
        <w:rPr>
          <w:i/>
          <w:color w:val="FF0000"/>
        </w:rPr>
        <w:t xml:space="preserve"> </w:t>
      </w:r>
      <w:r w:rsidR="00E62221" w:rsidRPr="00143998">
        <w:rPr>
          <w:i/>
          <w:color w:val="FF0000"/>
        </w:rPr>
        <w:t xml:space="preserve">the example below, the consumer </w:t>
      </w:r>
      <w:r w:rsidR="00C85306">
        <w:rPr>
          <w:i/>
          <w:color w:val="FF0000"/>
        </w:rPr>
        <w:t>probably was</w:t>
      </w:r>
      <w:r w:rsidR="00C85306" w:rsidRPr="00143998">
        <w:rPr>
          <w:i/>
          <w:color w:val="FF0000"/>
        </w:rPr>
        <w:t xml:space="preserve"> </w:t>
      </w:r>
      <w:r w:rsidR="00E62221" w:rsidRPr="00143998">
        <w:rPr>
          <w:i/>
          <w:color w:val="FF0000"/>
        </w:rPr>
        <w:t xml:space="preserve">entitled to ask the manufacturer </w:t>
      </w:r>
      <w:r w:rsidR="00C85306">
        <w:rPr>
          <w:i/>
          <w:color w:val="FF0000"/>
        </w:rPr>
        <w:t>for the</w:t>
      </w:r>
      <w:r w:rsidR="00C85306" w:rsidRPr="00143998">
        <w:rPr>
          <w:i/>
          <w:color w:val="FF0000"/>
        </w:rPr>
        <w:t xml:space="preserve"> </w:t>
      </w:r>
      <w:r w:rsidR="00E62221" w:rsidRPr="00143998">
        <w:rPr>
          <w:i/>
          <w:color w:val="FF0000"/>
        </w:rPr>
        <w:t>repair</w:t>
      </w:r>
      <w:r w:rsidR="00C85306">
        <w:rPr>
          <w:i/>
          <w:color w:val="FF0000"/>
        </w:rPr>
        <w:t>ing</w:t>
      </w:r>
      <w:r w:rsidR="00E62221" w:rsidRPr="00143998">
        <w:rPr>
          <w:i/>
          <w:color w:val="FF0000"/>
        </w:rPr>
        <w:t xml:space="preserve"> </w:t>
      </w:r>
      <w:r w:rsidR="00C85306">
        <w:rPr>
          <w:i/>
          <w:color w:val="FF0000"/>
        </w:rPr>
        <w:t xml:space="preserve">of </w:t>
      </w:r>
      <w:r w:rsidR="00E62221" w:rsidRPr="00143998">
        <w:rPr>
          <w:i/>
          <w:color w:val="FF0000"/>
        </w:rPr>
        <w:t>the furniture, but due to a lack of evidence, the clinic suggested that he</w:t>
      </w:r>
      <w:r w:rsidR="00C85306">
        <w:rPr>
          <w:i/>
          <w:color w:val="FF0000"/>
        </w:rPr>
        <w:t xml:space="preserve"> went</w:t>
      </w:r>
      <w:r w:rsidR="00E62221" w:rsidRPr="00143998">
        <w:rPr>
          <w:i/>
          <w:color w:val="FF0000"/>
        </w:rPr>
        <w:t xml:space="preserve"> mediation instea</w:t>
      </w:r>
      <w:r w:rsidR="00F915E3">
        <w:rPr>
          <w:i/>
          <w:color w:val="FF0000"/>
        </w:rPr>
        <w:t>d):</w:t>
      </w:r>
    </w:p>
    <w:p w:rsidR="00B122B0" w:rsidRPr="00E97DB1" w:rsidRDefault="00C85306" w:rsidP="00B122B0">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i/>
        </w:rPr>
      </w:pPr>
      <w:r>
        <w:rPr>
          <w:i/>
        </w:rPr>
        <w:t>Specific remarks</w:t>
      </w:r>
      <w:r w:rsidR="00B122B0" w:rsidRPr="00E97DB1">
        <w:rPr>
          <w:i/>
        </w:rPr>
        <w:t>:</w:t>
      </w:r>
    </w:p>
    <w:p w:rsidR="009E0B3A" w:rsidRDefault="009E0B3A" w:rsidP="009E0B3A"/>
    <w:p w:rsidR="00E97DB1" w:rsidRDefault="00E97DB1" w:rsidP="00E97DB1">
      <w:pPr>
        <w:jc w:val="center"/>
      </w:pPr>
      <w:r w:rsidRPr="00E97DB1">
        <w:t>E</w:t>
      </w:r>
      <w:r w:rsidR="009E0B3A" w:rsidRPr="00E97DB1">
        <w:t>xample of a “clinic data” in Luxembourg:</w:t>
      </w:r>
    </w:p>
    <w:p w:rsidR="00E97DB1" w:rsidRDefault="00E97DB1" w:rsidP="00E97DB1">
      <w:pPr>
        <w:jc w:val="center"/>
      </w:pPr>
    </w:p>
    <w:p w:rsidR="009E0B3A" w:rsidRPr="00E97DB1" w:rsidRDefault="00E97DB1" w:rsidP="00E97DB1">
      <w:pPr>
        <w:jc w:val="center"/>
        <w:rPr>
          <w:b/>
        </w:rPr>
      </w:pPr>
      <w:r w:rsidRPr="00E97DB1">
        <w:rPr>
          <w:b/>
          <w:highlight w:val="lightGray"/>
        </w:rPr>
        <w:t>T</w:t>
      </w:r>
      <w:r w:rsidR="009E0B3A" w:rsidRPr="00E97DB1">
        <w:rPr>
          <w:b/>
          <w:highlight w:val="lightGray"/>
        </w:rPr>
        <w:t>he “</w:t>
      </w:r>
      <w:r w:rsidR="0071063B">
        <w:rPr>
          <w:b/>
          <w:highlight w:val="lightGray"/>
        </w:rPr>
        <w:t>X</w:t>
      </w:r>
      <w:r w:rsidR="009E0B3A" w:rsidRPr="00E97DB1">
        <w:rPr>
          <w:b/>
          <w:highlight w:val="lightGray"/>
        </w:rPr>
        <w:t xml:space="preserve"> case”</w:t>
      </w:r>
      <w:r w:rsidRPr="00E97DB1">
        <w:rPr>
          <w:b/>
          <w:highlight w:val="lightGray"/>
        </w:rPr>
        <w:t xml:space="preserve"> (Furniture case)</w:t>
      </w:r>
    </w:p>
    <w:p w:rsidR="009E0B3A" w:rsidRPr="00983BD5" w:rsidRDefault="009E0B3A" w:rsidP="009E0B3A">
      <w:pPr>
        <w:jc w:val="both"/>
      </w:pPr>
    </w:p>
    <w:p w:rsidR="009E0B3A" w:rsidRDefault="009E0B3A" w:rsidP="009E0B3A">
      <w:pPr>
        <w:jc w:val="both"/>
        <w:outlineLvl w:val="0"/>
        <w:rPr>
          <w:b/>
        </w:rPr>
      </w:pPr>
      <w:r>
        <w:rPr>
          <w:b/>
        </w:rPr>
        <w:t>KEYWORDS</w:t>
      </w:r>
      <w:r w:rsidRPr="00785830">
        <w:rPr>
          <w:b/>
        </w:rPr>
        <w:t xml:space="preserve">: </w:t>
      </w:r>
    </w:p>
    <w:p w:rsidR="009E0B3A" w:rsidRDefault="009E0B3A" w:rsidP="009E0B3A">
      <w:pPr>
        <w:jc w:val="both"/>
        <w:outlineLvl w:val="0"/>
        <w:rPr>
          <w:b/>
        </w:rPr>
      </w:pPr>
    </w:p>
    <w:p w:rsidR="009E0B3A" w:rsidRPr="00785830" w:rsidRDefault="009E0B3A" w:rsidP="009E0B3A">
      <w:pPr>
        <w:jc w:val="both"/>
        <w:outlineLvl w:val="0"/>
        <w:rPr>
          <w:b/>
        </w:rPr>
      </w:pPr>
      <w:r>
        <w:rPr>
          <w:i/>
        </w:rPr>
        <w:t>S</w:t>
      </w:r>
      <w:r w:rsidRPr="0070340A">
        <w:rPr>
          <w:i/>
        </w:rPr>
        <w:t>ale contract-</w:t>
      </w:r>
      <w:r>
        <w:rPr>
          <w:i/>
        </w:rPr>
        <w:t>furniture-</w:t>
      </w:r>
      <w:r w:rsidRPr="0070340A">
        <w:rPr>
          <w:i/>
        </w:rPr>
        <w:t>seller-manufacturer-default of conformity-burden of proof</w:t>
      </w:r>
      <w:r>
        <w:rPr>
          <w:i/>
        </w:rPr>
        <w:t>-consumer</w:t>
      </w:r>
    </w:p>
    <w:p w:rsidR="009E0B3A" w:rsidRPr="00785830" w:rsidRDefault="009E0B3A" w:rsidP="009E0B3A">
      <w:pPr>
        <w:jc w:val="both"/>
        <w:rPr>
          <w:b/>
        </w:rPr>
      </w:pPr>
    </w:p>
    <w:p w:rsidR="009E0B3A" w:rsidRPr="005A5CED" w:rsidRDefault="009E0B3A" w:rsidP="009E0B3A">
      <w:pPr>
        <w:jc w:val="both"/>
        <w:outlineLvl w:val="0"/>
        <w:rPr>
          <w:b/>
        </w:rPr>
      </w:pPr>
      <w:r w:rsidRPr="005A5CED">
        <w:rPr>
          <w:b/>
        </w:rPr>
        <w:t>FACTS:</w:t>
      </w:r>
    </w:p>
    <w:p w:rsidR="009E0B3A" w:rsidRDefault="009E0B3A" w:rsidP="009E0B3A">
      <w:pPr>
        <w:jc w:val="both"/>
        <w:rPr>
          <w:b/>
        </w:rPr>
      </w:pPr>
    </w:p>
    <w:p w:rsidR="009E0B3A" w:rsidRDefault="009E0B3A" w:rsidP="009E0B3A">
      <w:pPr>
        <w:jc w:val="both"/>
      </w:pPr>
      <w:r w:rsidRPr="00B27C31">
        <w:t>In that case</w:t>
      </w:r>
      <w:r>
        <w:t>,</w:t>
      </w:r>
      <w:r w:rsidRPr="00B27C31">
        <w:t xml:space="preserve"> a Luxembourgish consumer </w:t>
      </w:r>
      <w:r>
        <w:t xml:space="preserve">bought a wooden piece of furniture (value 3600 euros) form </w:t>
      </w:r>
      <w:r w:rsidRPr="001A60C5">
        <w:t xml:space="preserve">a Luxembourgish seller and a German manufacturer </w:t>
      </w:r>
      <w:r>
        <w:t>on the 15</w:t>
      </w:r>
      <w:r w:rsidRPr="001D276B">
        <w:rPr>
          <w:vertAlign w:val="superscript"/>
        </w:rPr>
        <w:t>th</w:t>
      </w:r>
      <w:r>
        <w:t xml:space="preserve"> march of 2016.  Later on, the consumer complained that shiny stains have appeared with time.</w:t>
      </w:r>
    </w:p>
    <w:p w:rsidR="009E0B3A" w:rsidRDefault="009E0B3A" w:rsidP="009E0B3A">
      <w:pPr>
        <w:jc w:val="both"/>
      </w:pPr>
      <w:r>
        <w:t>He gave notice of it to the Luxembourgish seller who contacted the German manufacturer. The latter agreed to make reparations on the condition that the consumer would pay the transportation fees.</w:t>
      </w:r>
    </w:p>
    <w:p w:rsidR="009E0B3A" w:rsidRDefault="009E0B3A" w:rsidP="009E0B3A">
      <w:pPr>
        <w:jc w:val="both"/>
      </w:pPr>
      <w:r>
        <w:t xml:space="preserve">The consumer refused and the manufacturer argues that time lapsed and that he will not proceed with the consumer request anymore.  </w:t>
      </w:r>
    </w:p>
    <w:p w:rsidR="009E0B3A" w:rsidRPr="00B27C31" w:rsidRDefault="009E0B3A" w:rsidP="009E0B3A">
      <w:pPr>
        <w:jc w:val="both"/>
      </w:pPr>
      <w:r>
        <w:t>It is to be noted that the</w:t>
      </w:r>
      <w:r w:rsidRPr="00386FE0">
        <w:t xml:space="preserve"> furniture was de</w:t>
      </w:r>
      <w:r>
        <w:t>livered more than 6 months after the 1</w:t>
      </w:r>
      <w:r w:rsidRPr="00785830">
        <w:rPr>
          <w:vertAlign w:val="superscript"/>
        </w:rPr>
        <w:t>st</w:t>
      </w:r>
      <w:r>
        <w:t xml:space="preserve"> December 2016</w:t>
      </w:r>
    </w:p>
    <w:p w:rsidR="009E0B3A" w:rsidRDefault="009E0B3A" w:rsidP="009E0B3A">
      <w:pPr>
        <w:jc w:val="both"/>
      </w:pPr>
      <w:r>
        <w:t>The case is still discussed – last e-mail form consumer received in August attaching the lawyers’ seller challenging the non-conformity of the case.</w:t>
      </w:r>
    </w:p>
    <w:p w:rsidR="009E0B3A" w:rsidRDefault="009E0B3A" w:rsidP="009E0B3A">
      <w:pPr>
        <w:jc w:val="both"/>
      </w:pPr>
    </w:p>
    <w:p w:rsidR="00E62221" w:rsidRPr="00E62221" w:rsidRDefault="00E62221" w:rsidP="009E0B3A">
      <w:pPr>
        <w:jc w:val="both"/>
        <w:rPr>
          <w:i/>
          <w:iCs/>
        </w:rPr>
      </w:pPr>
      <w:r w:rsidRPr="00E62221">
        <w:rPr>
          <w:i/>
          <w:iCs/>
        </w:rPr>
        <w:t xml:space="preserve">The consumer would like the manufacturer to repair the piece of furniture free of charge, and if not, a replacement. </w:t>
      </w:r>
    </w:p>
    <w:p w:rsidR="00E62221" w:rsidRDefault="00E62221" w:rsidP="009E0B3A">
      <w:pPr>
        <w:jc w:val="both"/>
      </w:pPr>
    </w:p>
    <w:p w:rsidR="009E0B3A" w:rsidRPr="00A83C83" w:rsidRDefault="009E0B3A" w:rsidP="009E0B3A">
      <w:pPr>
        <w:jc w:val="both"/>
      </w:pPr>
      <w:r w:rsidRPr="00A83C83">
        <w:rPr>
          <w:b/>
        </w:rPr>
        <w:t>LEGAL ANALYSIS:</w:t>
      </w:r>
    </w:p>
    <w:p w:rsidR="009E0B3A" w:rsidRDefault="009E0B3A" w:rsidP="009E0B3A">
      <w:pPr>
        <w:jc w:val="both"/>
        <w:rPr>
          <w:i/>
        </w:rPr>
      </w:pPr>
    </w:p>
    <w:p w:rsidR="009E0B3A" w:rsidRDefault="009E0B3A" w:rsidP="009E0B3A">
      <w:pPr>
        <w:jc w:val="both"/>
      </w:pPr>
      <w:r w:rsidRPr="00A83C83">
        <w:lastRenderedPageBreak/>
        <w:t xml:space="preserve">In </w:t>
      </w:r>
      <w:r w:rsidRPr="00983BD5">
        <w:t>that case,</w:t>
      </w:r>
      <w:r>
        <w:t xml:space="preserve"> a conformity issue was at stake (</w:t>
      </w:r>
      <w:r w:rsidRPr="00983BD5">
        <w:t>besides</w:t>
      </w:r>
      <w:r>
        <w:t>,</w:t>
      </w:r>
      <w:r w:rsidRPr="00983BD5">
        <w:t xml:space="preserve"> in Luxembourgish law, there are specifi</w:t>
      </w:r>
      <w:r>
        <w:t>c provisions in the Civil code</w:t>
      </w:r>
      <w:r w:rsidRPr="00983BD5">
        <w:t>)</w:t>
      </w:r>
      <w:r>
        <w:t>. The p</w:t>
      </w:r>
      <w:r w:rsidRPr="00983BD5">
        <w:t>roblem</w:t>
      </w:r>
      <w:r>
        <w:t xml:space="preserve"> was whether the consumer could obtain the seller or manufacturer</w:t>
      </w:r>
      <w:r w:rsidRPr="00983BD5">
        <w:t xml:space="preserve"> to bring the good</w:t>
      </w:r>
      <w:r>
        <w:t xml:space="preserve"> he bought from them</w:t>
      </w:r>
      <w:r w:rsidRPr="00983BD5">
        <w:t xml:space="preserve"> into conformity</w:t>
      </w:r>
      <w:r>
        <w:t>.</w:t>
      </w:r>
    </w:p>
    <w:p w:rsidR="009E0B3A" w:rsidRPr="00983BD5" w:rsidRDefault="009E0B3A" w:rsidP="009E0B3A">
      <w:pPr>
        <w:jc w:val="both"/>
      </w:pPr>
    </w:p>
    <w:p w:rsidR="009E0B3A" w:rsidRPr="0091296D" w:rsidRDefault="009E0B3A" w:rsidP="009E0B3A">
      <w:pPr>
        <w:pStyle w:val="Paragrafoelenco"/>
        <w:numPr>
          <w:ilvl w:val="0"/>
          <w:numId w:val="2"/>
        </w:numPr>
        <w:jc w:val="both"/>
        <w:rPr>
          <w:rFonts w:ascii="Times New Roman" w:hAnsi="Times New Roman" w:cs="Times New Roman"/>
          <w:b/>
        </w:rPr>
      </w:pPr>
      <w:r w:rsidRPr="0091296D">
        <w:rPr>
          <w:rFonts w:ascii="Times New Roman" w:hAnsi="Times New Roman" w:cs="Times New Roman"/>
          <w:b/>
        </w:rPr>
        <w:t>Legal provisions with specific reference to EU directive when applying</w:t>
      </w:r>
      <w:r>
        <w:rPr>
          <w:rFonts w:ascii="Times New Roman" w:hAnsi="Times New Roman" w:cs="Times New Roman"/>
          <w:b/>
        </w:rPr>
        <w:t>:</w:t>
      </w:r>
    </w:p>
    <w:p w:rsidR="009E0B3A" w:rsidRDefault="009E0B3A" w:rsidP="009E0B3A">
      <w:pPr>
        <w:jc w:val="both"/>
        <w:rPr>
          <w:rFonts w:ascii="Times New Roman" w:hAnsi="Times New Roman" w:cs="Times New Roman"/>
          <w:b/>
        </w:rPr>
      </w:pPr>
    </w:p>
    <w:p w:rsidR="009E0B3A" w:rsidRPr="0091296D" w:rsidRDefault="009E0B3A" w:rsidP="009E0B3A">
      <w:pPr>
        <w:jc w:val="both"/>
        <w:rPr>
          <w:rFonts w:ascii="Times New Roman" w:eastAsia="Times New Roman" w:hAnsi="Times New Roman" w:cs="Times New Roman"/>
        </w:rPr>
      </w:pPr>
      <w:r>
        <w:rPr>
          <w:rFonts w:ascii="Times New Roman" w:hAnsi="Times New Roman" w:cs="Times New Roman"/>
          <w:b/>
        </w:rPr>
        <w:t>N</w:t>
      </w:r>
      <w:r>
        <w:t xml:space="preserve">ational </w:t>
      </w:r>
      <w:r>
        <w:rPr>
          <w:rFonts w:ascii="Times New Roman" w:hAnsi="Times New Roman" w:cs="Times New Roman"/>
        </w:rPr>
        <w:t>provisions</w:t>
      </w:r>
      <w:r w:rsidRPr="0091296D">
        <w:rPr>
          <w:rFonts w:ascii="Times New Roman" w:hAnsi="Times New Roman" w:cs="Times New Roman"/>
        </w:rPr>
        <w:t xml:space="preserve"> implementing </w:t>
      </w:r>
      <w:r w:rsidRPr="0091296D">
        <w:rPr>
          <w:rFonts w:ascii="Times New Roman" w:eastAsia="Times New Roman" w:hAnsi="Times New Roman" w:cs="Times New Roman"/>
        </w:rPr>
        <w:t>Directive 99/44/EC of the European Parliament and of the Council of 25 May 1999 on certain aspects of the sale of consumer goods and associated guarantees.</w:t>
      </w:r>
    </w:p>
    <w:p w:rsidR="009E0B3A" w:rsidRPr="0091296D" w:rsidRDefault="009E0B3A" w:rsidP="009E0B3A">
      <w:pPr>
        <w:jc w:val="both"/>
        <w:rPr>
          <w:rFonts w:ascii="Times New Roman" w:hAnsi="Times New Roman" w:cs="Times New Roman"/>
          <w:b/>
        </w:rPr>
      </w:pPr>
    </w:p>
    <w:p w:rsidR="009E0B3A" w:rsidRPr="0091296D" w:rsidRDefault="009E0B3A" w:rsidP="009E0B3A">
      <w:pPr>
        <w:pStyle w:val="Paragrafoelenco"/>
        <w:numPr>
          <w:ilvl w:val="0"/>
          <w:numId w:val="2"/>
        </w:numPr>
        <w:jc w:val="both"/>
        <w:rPr>
          <w:rFonts w:ascii="Times New Roman" w:hAnsi="Times New Roman" w:cs="Times New Roman"/>
          <w:b/>
        </w:rPr>
      </w:pPr>
      <w:r>
        <w:rPr>
          <w:rFonts w:ascii="Times New Roman" w:hAnsi="Times New Roman" w:cs="Times New Roman"/>
          <w:b/>
        </w:rPr>
        <w:t>European cases referred to</w:t>
      </w:r>
      <w:r w:rsidRPr="0091296D">
        <w:rPr>
          <w:rFonts w:ascii="Times New Roman" w:hAnsi="Times New Roman" w:cs="Times New Roman"/>
          <w:b/>
        </w:rPr>
        <w:t>:</w:t>
      </w:r>
    </w:p>
    <w:p w:rsidR="009E0B3A" w:rsidRPr="0091296D" w:rsidRDefault="009E0B3A" w:rsidP="009E0B3A">
      <w:pPr>
        <w:jc w:val="both"/>
        <w:rPr>
          <w:rFonts w:ascii="Times New Roman" w:hAnsi="Times New Roman" w:cs="Times New Roman"/>
          <w:i/>
        </w:rPr>
      </w:pPr>
    </w:p>
    <w:p w:rsidR="009E0B3A" w:rsidRPr="0091296D" w:rsidRDefault="009E0B3A" w:rsidP="009E0B3A">
      <w:pPr>
        <w:pStyle w:val="p1"/>
        <w:jc w:val="both"/>
        <w:rPr>
          <w:rFonts w:ascii="Times New Roman" w:hAnsi="Times New Roman" w:cs="Times New Roman"/>
          <w:sz w:val="24"/>
          <w:szCs w:val="24"/>
          <w:lang w:val="en-US" w:eastAsia="en-US"/>
        </w:rPr>
      </w:pPr>
      <w:r w:rsidRPr="0091296D">
        <w:rPr>
          <w:rFonts w:ascii="Times New Roman" w:hAnsi="Times New Roman" w:cs="Times New Roman"/>
          <w:b/>
          <w:i/>
          <w:sz w:val="24"/>
          <w:szCs w:val="24"/>
          <w:u w:val="single"/>
          <w:lang w:val="en-US" w:eastAsia="en-US"/>
        </w:rPr>
        <w:t>C</w:t>
      </w:r>
      <w:r w:rsidR="00E97DB1">
        <w:rPr>
          <w:rFonts w:ascii="Times New Roman" w:hAnsi="Times New Roman" w:cs="Times New Roman"/>
          <w:b/>
          <w:i/>
          <w:sz w:val="24"/>
          <w:szCs w:val="24"/>
          <w:u w:val="single"/>
          <w:lang w:val="en-US" w:eastAsia="en-US"/>
        </w:rPr>
        <w:t xml:space="preserve">-65/09 - </w:t>
      </w:r>
      <w:proofErr w:type="spellStart"/>
      <w:r w:rsidR="00E97DB1">
        <w:rPr>
          <w:rFonts w:ascii="Times New Roman" w:hAnsi="Times New Roman" w:cs="Times New Roman"/>
          <w:b/>
          <w:i/>
          <w:sz w:val="24"/>
          <w:szCs w:val="24"/>
          <w:u w:val="single"/>
          <w:lang w:val="en-US" w:eastAsia="en-US"/>
        </w:rPr>
        <w:t>Gebr</w:t>
      </w:r>
      <w:proofErr w:type="spellEnd"/>
      <w:r w:rsidR="00E97DB1">
        <w:rPr>
          <w:rFonts w:ascii="Times New Roman" w:hAnsi="Times New Roman" w:cs="Times New Roman"/>
          <w:b/>
          <w:i/>
          <w:sz w:val="24"/>
          <w:szCs w:val="24"/>
          <w:u w:val="single"/>
          <w:lang w:val="en-US" w:eastAsia="en-US"/>
        </w:rPr>
        <w:t>. Weber and Putz, J</w:t>
      </w:r>
      <w:r w:rsidRPr="0091296D">
        <w:rPr>
          <w:rFonts w:ascii="Times New Roman" w:hAnsi="Times New Roman" w:cs="Times New Roman"/>
          <w:b/>
          <w:i/>
          <w:sz w:val="24"/>
          <w:szCs w:val="24"/>
          <w:u w:val="single"/>
          <w:lang w:val="en-US" w:eastAsia="en-US"/>
        </w:rPr>
        <w:t>une 11th 2011</w:t>
      </w:r>
      <w:r w:rsidRPr="0091296D">
        <w:rPr>
          <w:rFonts w:ascii="Times New Roman" w:hAnsi="Times New Roman" w:cs="Times New Roman"/>
          <w:sz w:val="24"/>
          <w:szCs w:val="24"/>
          <w:lang w:val="en-US" w:eastAsia="en-US"/>
        </w:rPr>
        <w:t>: According to the ECJ “</w:t>
      </w:r>
      <w:r w:rsidRPr="0091296D">
        <w:rPr>
          <w:rFonts w:ascii="Times New Roman" w:hAnsi="Times New Roman" w:cs="Times New Roman"/>
          <w:i/>
          <w:sz w:val="24"/>
          <w:szCs w:val="24"/>
          <w:lang w:val="en-US" w:eastAsia="en-US"/>
        </w:rPr>
        <w:t>Putz and Weber</w:t>
      </w:r>
      <w:r w:rsidRPr="0091296D">
        <w:rPr>
          <w:rFonts w:ascii="Times New Roman" w:hAnsi="Times New Roman" w:cs="Times New Roman"/>
          <w:sz w:val="24"/>
          <w:szCs w:val="24"/>
          <w:lang w:val="en-US" w:eastAsia="en-US"/>
        </w:rPr>
        <w:t>” case, in the event of the replacement of defective consumer goods, the seller must remove the goods from where they have been installed in good faith by the consumer and install the replacement goods there, or bear the necessary cost of those operations. Reimbursement of the cost may, however, be limited to an amount proportionate to the value of goods in conformity and the significance of the lack of conformity.</w:t>
      </w:r>
    </w:p>
    <w:p w:rsidR="009E0B3A" w:rsidRPr="0091296D" w:rsidRDefault="009E0B3A" w:rsidP="009E0B3A">
      <w:pPr>
        <w:jc w:val="both"/>
        <w:rPr>
          <w:rFonts w:ascii="Times New Roman" w:hAnsi="Times New Roman" w:cs="Times New Roman"/>
          <w:i/>
        </w:rPr>
      </w:pPr>
    </w:p>
    <w:p w:rsidR="009E0B3A" w:rsidRPr="0091296D" w:rsidRDefault="009E0B3A" w:rsidP="009E0B3A">
      <w:pPr>
        <w:jc w:val="both"/>
        <w:rPr>
          <w:rFonts w:ascii="Times New Roman" w:hAnsi="Times New Roman" w:cs="Times New Roman"/>
        </w:rPr>
      </w:pPr>
      <w:r w:rsidRPr="0091296D">
        <w:rPr>
          <w:rFonts w:ascii="Times New Roman" w:hAnsi="Times New Roman" w:cs="Times New Roman"/>
          <w:b/>
        </w:rPr>
        <w:t>LEGAL SOLUTION:</w:t>
      </w:r>
      <w:r w:rsidRPr="0091296D">
        <w:rPr>
          <w:rFonts w:ascii="Times New Roman" w:hAnsi="Times New Roman" w:cs="Times New Roman"/>
        </w:rPr>
        <w:t xml:space="preserve"> </w:t>
      </w:r>
    </w:p>
    <w:p w:rsidR="009E0B3A" w:rsidRDefault="009E0B3A" w:rsidP="009E0B3A">
      <w:pPr>
        <w:jc w:val="both"/>
        <w:rPr>
          <w:rFonts w:ascii="Times New Roman" w:hAnsi="Times New Roman" w:cs="Times New Roman"/>
        </w:rPr>
      </w:pPr>
    </w:p>
    <w:p w:rsidR="009E0B3A" w:rsidRPr="0091296D" w:rsidRDefault="009E0B3A" w:rsidP="009E0B3A">
      <w:pPr>
        <w:jc w:val="both"/>
        <w:rPr>
          <w:rFonts w:ascii="Times New Roman" w:hAnsi="Times New Roman" w:cs="Times New Roman"/>
        </w:rPr>
      </w:pPr>
      <w:r>
        <w:rPr>
          <w:rFonts w:ascii="Times New Roman" w:hAnsi="Times New Roman" w:cs="Times New Roman"/>
        </w:rPr>
        <w:t>Remedies under Directive 99/44/CE</w:t>
      </w:r>
      <w:r w:rsidR="00E97DB1">
        <w:rPr>
          <w:rFonts w:ascii="Times New Roman" w:hAnsi="Times New Roman" w:cs="Times New Roman"/>
        </w:rPr>
        <w:t xml:space="preserve"> (as transposed in Luxembourg)</w:t>
      </w:r>
    </w:p>
    <w:p w:rsidR="009E0B3A" w:rsidRPr="0091296D" w:rsidRDefault="009E0B3A" w:rsidP="009E0B3A">
      <w:pPr>
        <w:jc w:val="both"/>
        <w:rPr>
          <w:rFonts w:ascii="Times New Roman" w:hAnsi="Times New Roman" w:cs="Times New Roman"/>
        </w:rPr>
      </w:pPr>
      <w:r w:rsidRPr="0091296D">
        <w:rPr>
          <w:rFonts w:ascii="Times New Roman" w:hAnsi="Times New Roman" w:cs="Times New Roman"/>
        </w:rPr>
        <w:t>As the furniture was delivered more than 6 months after the 1</w:t>
      </w:r>
      <w:r w:rsidRPr="0091296D">
        <w:rPr>
          <w:rFonts w:ascii="Times New Roman" w:hAnsi="Times New Roman" w:cs="Times New Roman"/>
          <w:vertAlign w:val="superscript"/>
        </w:rPr>
        <w:t>st</w:t>
      </w:r>
      <w:r w:rsidRPr="0091296D">
        <w:rPr>
          <w:rFonts w:ascii="Times New Roman" w:hAnsi="Times New Roman" w:cs="Times New Roman"/>
        </w:rPr>
        <w:t xml:space="preserve"> December 2016, there was no more presumption benefiting to the consumer. He would have to prove the stain was a lack of conformity. </w:t>
      </w:r>
    </w:p>
    <w:p w:rsidR="009E0B3A" w:rsidRPr="00A83C83" w:rsidRDefault="009E0B3A" w:rsidP="009E0B3A">
      <w:pPr>
        <w:jc w:val="both"/>
        <w:rPr>
          <w:b/>
        </w:rPr>
      </w:pPr>
    </w:p>
    <w:p w:rsidR="009E0B3A" w:rsidRPr="006C07CB" w:rsidRDefault="009E0B3A" w:rsidP="009E0B3A">
      <w:pPr>
        <w:jc w:val="both"/>
        <w:rPr>
          <w:rFonts w:ascii="Times New Roman" w:hAnsi="Times New Roman" w:cs="Times New Roman"/>
          <w:b/>
        </w:rPr>
      </w:pPr>
      <w:r>
        <w:rPr>
          <w:rFonts w:ascii="Times New Roman" w:hAnsi="Times New Roman" w:cs="Times New Roman"/>
          <w:b/>
        </w:rPr>
        <w:t>SUGGESTED</w:t>
      </w:r>
      <w:r w:rsidRPr="006C07CB">
        <w:rPr>
          <w:rFonts w:ascii="Times New Roman" w:hAnsi="Times New Roman" w:cs="Times New Roman"/>
          <w:b/>
        </w:rPr>
        <w:t xml:space="preserve"> SOLUTION: </w:t>
      </w:r>
    </w:p>
    <w:p w:rsidR="009E0B3A" w:rsidRDefault="009E0B3A" w:rsidP="009E0B3A">
      <w:pPr>
        <w:jc w:val="both"/>
        <w:rPr>
          <w:rFonts w:ascii="Times New Roman" w:hAnsi="Times New Roman" w:cs="Times New Roman"/>
        </w:rPr>
      </w:pPr>
      <w:r w:rsidRPr="006C07CB">
        <w:rPr>
          <w:rFonts w:ascii="Times New Roman" w:hAnsi="Times New Roman" w:cs="Times New Roman"/>
        </w:rPr>
        <w:t xml:space="preserve">Difficulties of proof on the consumer </w:t>
      </w:r>
      <w:r>
        <w:rPr>
          <w:rFonts w:ascii="Times New Roman" w:hAnsi="Times New Roman" w:cs="Times New Roman"/>
        </w:rPr>
        <w:t>(non-conformity issue</w:t>
      </w:r>
      <w:r w:rsidRPr="006C07CB">
        <w:rPr>
          <w:rFonts w:ascii="Times New Roman" w:hAnsi="Times New Roman" w:cs="Times New Roman"/>
        </w:rPr>
        <w:t xml:space="preserve"> above the 6 months’ presumption period of time</w:t>
      </w:r>
      <w:r>
        <w:rPr>
          <w:rFonts w:ascii="Times New Roman" w:hAnsi="Times New Roman" w:cs="Times New Roman"/>
        </w:rPr>
        <w:t>).</w:t>
      </w:r>
    </w:p>
    <w:p w:rsidR="009E0B3A" w:rsidRDefault="009E0B3A" w:rsidP="009E0B3A">
      <w:pPr>
        <w:jc w:val="both"/>
        <w:rPr>
          <w:rFonts w:ascii="Times New Roman" w:hAnsi="Times New Roman" w:cs="Times New Roman"/>
        </w:rPr>
      </w:pPr>
      <w:r w:rsidRPr="006C07CB">
        <w:rPr>
          <w:rFonts w:ascii="Times New Roman" w:hAnsi="Times New Roman" w:cs="Times New Roman"/>
        </w:rPr>
        <w:t>Argument on our side</w:t>
      </w:r>
      <w:r>
        <w:rPr>
          <w:rFonts w:ascii="Times New Roman" w:hAnsi="Times New Roman" w:cs="Times New Roman"/>
        </w:rPr>
        <w:t xml:space="preserve">: </w:t>
      </w:r>
      <w:r w:rsidRPr="006C07CB">
        <w:rPr>
          <w:rFonts w:ascii="Times New Roman" w:hAnsi="Times New Roman" w:cs="Times New Roman"/>
        </w:rPr>
        <w:t xml:space="preserve">not the kind of stain that one person would make. </w:t>
      </w:r>
      <w:r>
        <w:rPr>
          <w:rFonts w:ascii="Times New Roman" w:hAnsi="Times New Roman" w:cs="Times New Roman"/>
        </w:rPr>
        <w:t>Consumer ready to proceed the case further.</w:t>
      </w:r>
    </w:p>
    <w:p w:rsidR="009E0B3A" w:rsidRDefault="009E0B3A" w:rsidP="009E0B3A">
      <w:pPr>
        <w:jc w:val="both"/>
        <w:rPr>
          <w:rFonts w:ascii="Times New Roman" w:hAnsi="Times New Roman" w:cs="Times New Roman"/>
        </w:rPr>
      </w:pPr>
      <w:r>
        <w:rPr>
          <w:rFonts w:ascii="Times New Roman" w:hAnsi="Times New Roman" w:cs="Times New Roman"/>
        </w:rPr>
        <w:t>Suggestion to contact the Luxembourgish Consumer Ombudsman.</w:t>
      </w:r>
    </w:p>
    <w:p w:rsidR="009E0B3A" w:rsidRPr="008906D3" w:rsidRDefault="009E0B3A" w:rsidP="009E0B3A">
      <w:pPr>
        <w:jc w:val="both"/>
        <w:rPr>
          <w:rFonts w:ascii="Times New Roman" w:hAnsi="Times New Roman" w:cs="Times New Roman"/>
          <w:b/>
        </w:rPr>
      </w:pPr>
    </w:p>
    <w:p w:rsidR="009E0B3A" w:rsidRPr="00FE0948" w:rsidRDefault="007E3FC0" w:rsidP="009E0B3A">
      <w:pPr>
        <w:jc w:val="both"/>
        <w:rPr>
          <w:rFonts w:ascii="Times New Roman" w:hAnsi="Times New Roman" w:cs="Times New Roman"/>
          <w:i/>
        </w:rPr>
      </w:pPr>
      <w:r>
        <w:rPr>
          <w:rFonts w:ascii="Times New Roman" w:hAnsi="Times New Roman" w:cs="Times New Roman"/>
          <w:b/>
        </w:rPr>
        <w:t>SPECIFIC REMARKS</w:t>
      </w:r>
      <w:r w:rsidR="009E0B3A" w:rsidRPr="006C07CB">
        <w:rPr>
          <w:rFonts w:ascii="Times New Roman" w:hAnsi="Times New Roman" w:cs="Times New Roman"/>
          <w:b/>
        </w:rPr>
        <w:t>:</w:t>
      </w:r>
      <w:r w:rsidR="009E0B3A" w:rsidRPr="006C07CB">
        <w:rPr>
          <w:rFonts w:ascii="Times New Roman" w:hAnsi="Times New Roman" w:cs="Times New Roman"/>
          <w:i/>
        </w:rPr>
        <w:t xml:space="preserve"> </w:t>
      </w:r>
    </w:p>
    <w:p w:rsidR="009E0B3A" w:rsidRPr="006C07CB" w:rsidRDefault="009E0B3A" w:rsidP="009E0B3A">
      <w:pPr>
        <w:jc w:val="both"/>
        <w:rPr>
          <w:rFonts w:ascii="Times New Roman" w:hAnsi="Times New Roman" w:cs="Times New Roman"/>
        </w:rPr>
      </w:pPr>
      <w:r>
        <w:rPr>
          <w:rFonts w:ascii="Times New Roman" w:hAnsi="Times New Roman" w:cs="Times New Roman"/>
        </w:rPr>
        <w:t>Evidence is the essence of conformity.</w:t>
      </w:r>
    </w:p>
    <w:p w:rsidR="009E0B3A" w:rsidRPr="006C07CB" w:rsidRDefault="009E0B3A" w:rsidP="009E0B3A">
      <w:pPr>
        <w:jc w:val="both"/>
        <w:rPr>
          <w:rFonts w:ascii="Times New Roman" w:hAnsi="Times New Roman" w:cs="Times New Roman"/>
        </w:rPr>
      </w:pPr>
    </w:p>
    <w:p w:rsidR="009E0B3A" w:rsidRPr="006C07CB" w:rsidRDefault="009E0B3A" w:rsidP="009E0B3A">
      <w:pPr>
        <w:jc w:val="both"/>
        <w:rPr>
          <w:rFonts w:ascii="Times New Roman" w:hAnsi="Times New Roman" w:cs="Times New Roman"/>
        </w:rPr>
      </w:pPr>
    </w:p>
    <w:p w:rsidR="009E0B3A" w:rsidRDefault="009E0B3A" w:rsidP="009E0B3A"/>
    <w:p w:rsidR="009E0B3A" w:rsidRPr="00F36E89" w:rsidRDefault="009E0B3A" w:rsidP="009E0B3A"/>
    <w:p w:rsidR="009E0B3A" w:rsidRPr="00017747" w:rsidRDefault="009E0B3A" w:rsidP="009E0B3A">
      <w:pPr>
        <w:ind w:left="360"/>
        <w:jc w:val="center"/>
      </w:pPr>
    </w:p>
    <w:p w:rsidR="006935C3" w:rsidRDefault="00B01EC2"/>
    <w:sectPr w:rsidR="006935C3" w:rsidSect="006A5E8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1EC2" w:rsidRDefault="00B01EC2">
      <w:r>
        <w:separator/>
      </w:r>
    </w:p>
  </w:endnote>
  <w:endnote w:type="continuationSeparator" w:id="0">
    <w:p w:rsidR="00B01EC2" w:rsidRDefault="00B0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47C4" w:rsidRDefault="009F0A6E" w:rsidP="00707A45">
    <w:pPr>
      <w:pStyle w:val="Pidipagina"/>
      <w:framePr w:wrap="none" w:vAnchor="text" w:hAnchor="margin" w:xAlign="right" w:y="1"/>
      <w:rPr>
        <w:rStyle w:val="Numeropagina"/>
      </w:rPr>
    </w:pPr>
    <w:r>
      <w:rPr>
        <w:rStyle w:val="Numeropagina"/>
      </w:rPr>
      <w:fldChar w:fldCharType="begin"/>
    </w:r>
    <w:r w:rsidR="00F54E2A">
      <w:rPr>
        <w:rStyle w:val="Numeropagina"/>
      </w:rPr>
      <w:instrText xml:space="preserve">PAGE  </w:instrText>
    </w:r>
    <w:r>
      <w:rPr>
        <w:rStyle w:val="Numeropagina"/>
      </w:rPr>
      <w:fldChar w:fldCharType="end"/>
    </w:r>
  </w:p>
  <w:p w:rsidR="006B47C4" w:rsidRDefault="00B01EC2" w:rsidP="006B47C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47C4" w:rsidRDefault="009F0A6E" w:rsidP="00707A45">
    <w:pPr>
      <w:pStyle w:val="Pidipagina"/>
      <w:framePr w:wrap="none" w:vAnchor="text" w:hAnchor="margin" w:xAlign="right" w:y="1"/>
      <w:rPr>
        <w:rStyle w:val="Numeropagina"/>
      </w:rPr>
    </w:pPr>
    <w:r>
      <w:rPr>
        <w:rStyle w:val="Numeropagina"/>
      </w:rPr>
      <w:fldChar w:fldCharType="begin"/>
    </w:r>
    <w:r w:rsidR="00F54E2A">
      <w:rPr>
        <w:rStyle w:val="Numeropagina"/>
      </w:rPr>
      <w:instrText xml:space="preserve">PAGE  </w:instrText>
    </w:r>
    <w:r>
      <w:rPr>
        <w:rStyle w:val="Numeropagina"/>
      </w:rPr>
      <w:fldChar w:fldCharType="separate"/>
    </w:r>
    <w:r w:rsidR="00C85306">
      <w:rPr>
        <w:rStyle w:val="Numeropagina"/>
        <w:noProof/>
      </w:rPr>
      <w:t>2</w:t>
    </w:r>
    <w:r>
      <w:rPr>
        <w:rStyle w:val="Numeropagina"/>
      </w:rPr>
      <w:fldChar w:fldCharType="end"/>
    </w:r>
  </w:p>
  <w:p w:rsidR="006B47C4" w:rsidRDefault="00B01EC2" w:rsidP="006B47C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1EC2" w:rsidRDefault="00B01EC2">
      <w:r>
        <w:separator/>
      </w:r>
    </w:p>
  </w:footnote>
  <w:footnote w:type="continuationSeparator" w:id="0">
    <w:p w:rsidR="00B01EC2" w:rsidRDefault="00B0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4.95pt;height:14.95pt" o:bullet="t">
        <v:imagedata r:id="rId1" o:title="Word Work File L_4"/>
      </v:shape>
    </w:pict>
  </w:numPicBullet>
  <w:abstractNum w:abstractNumId="0" w15:restartNumberingAfterBreak="0">
    <w:nsid w:val="45D36C63"/>
    <w:multiLevelType w:val="hybridMultilevel"/>
    <w:tmpl w:val="E0ACB956"/>
    <w:lvl w:ilvl="0" w:tplc="92C4E47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8E4C3A"/>
    <w:multiLevelType w:val="hybridMultilevel"/>
    <w:tmpl w:val="255ECFF2"/>
    <w:lvl w:ilvl="0" w:tplc="86C0F2E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F5151E"/>
    <w:multiLevelType w:val="hybridMultilevel"/>
    <w:tmpl w:val="06B6E2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3A"/>
    <w:rsid w:val="000E6929"/>
    <w:rsid w:val="00143998"/>
    <w:rsid w:val="00173D7E"/>
    <w:rsid w:val="001B4CE1"/>
    <w:rsid w:val="00343E15"/>
    <w:rsid w:val="003F54DD"/>
    <w:rsid w:val="0063701E"/>
    <w:rsid w:val="00646DCE"/>
    <w:rsid w:val="0071063B"/>
    <w:rsid w:val="0078786A"/>
    <w:rsid w:val="007E3FC0"/>
    <w:rsid w:val="00890E94"/>
    <w:rsid w:val="008C64AF"/>
    <w:rsid w:val="00953BAB"/>
    <w:rsid w:val="009B7E4C"/>
    <w:rsid w:val="009E0B3A"/>
    <w:rsid w:val="009F0A6E"/>
    <w:rsid w:val="00A25938"/>
    <w:rsid w:val="00AA2A6C"/>
    <w:rsid w:val="00AB24AA"/>
    <w:rsid w:val="00AC04C9"/>
    <w:rsid w:val="00AC747F"/>
    <w:rsid w:val="00B01EC2"/>
    <w:rsid w:val="00B122B0"/>
    <w:rsid w:val="00B15A8D"/>
    <w:rsid w:val="00BA2A31"/>
    <w:rsid w:val="00BF2CF4"/>
    <w:rsid w:val="00C85306"/>
    <w:rsid w:val="00CD163D"/>
    <w:rsid w:val="00D05E46"/>
    <w:rsid w:val="00D84F07"/>
    <w:rsid w:val="00D87727"/>
    <w:rsid w:val="00DA1D34"/>
    <w:rsid w:val="00E263F3"/>
    <w:rsid w:val="00E62221"/>
    <w:rsid w:val="00E97DB1"/>
    <w:rsid w:val="00EC36A8"/>
    <w:rsid w:val="00EE39B9"/>
    <w:rsid w:val="00EF2529"/>
    <w:rsid w:val="00F54E2A"/>
    <w:rsid w:val="00F915E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AF4C"/>
  <w15:docId w15:val="{3EF91E3A-83A4-B947-8C43-2ECF7302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0B3A"/>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0B3A"/>
    <w:pPr>
      <w:ind w:left="720"/>
      <w:contextualSpacing/>
    </w:pPr>
  </w:style>
  <w:style w:type="paragraph" w:styleId="Pidipagina">
    <w:name w:val="footer"/>
    <w:basedOn w:val="Normale"/>
    <w:link w:val="PidipaginaCarattere"/>
    <w:uiPriority w:val="99"/>
    <w:unhideWhenUsed/>
    <w:rsid w:val="009E0B3A"/>
    <w:pPr>
      <w:tabs>
        <w:tab w:val="center" w:pos="4680"/>
        <w:tab w:val="right" w:pos="9360"/>
      </w:tabs>
    </w:pPr>
  </w:style>
  <w:style w:type="character" w:customStyle="1" w:styleId="PidipaginaCarattere">
    <w:name w:val="Piè di pagina Carattere"/>
    <w:basedOn w:val="Carpredefinitoparagrafo"/>
    <w:link w:val="Pidipagina"/>
    <w:uiPriority w:val="99"/>
    <w:rsid w:val="009E0B3A"/>
    <w:rPr>
      <w:lang w:val="en-US"/>
    </w:rPr>
  </w:style>
  <w:style w:type="character" w:styleId="Numeropagina">
    <w:name w:val="page number"/>
    <w:basedOn w:val="Carpredefinitoparagrafo"/>
    <w:uiPriority w:val="99"/>
    <w:semiHidden/>
    <w:unhideWhenUsed/>
    <w:rsid w:val="009E0B3A"/>
  </w:style>
  <w:style w:type="paragraph" w:customStyle="1" w:styleId="p1">
    <w:name w:val="p1"/>
    <w:basedOn w:val="Normale"/>
    <w:rsid w:val="009E0B3A"/>
    <w:rPr>
      <w:rFonts w:ascii="Arial" w:hAnsi="Arial" w:cs="Arial"/>
      <w:sz w:val="18"/>
      <w:szCs w:val="18"/>
      <w:lang w:val="fr-FR" w:eastAsia="fr-FR"/>
    </w:rPr>
  </w:style>
  <w:style w:type="character" w:styleId="Rimandocommento">
    <w:name w:val="annotation reference"/>
    <w:basedOn w:val="Carpredefinitoparagrafo"/>
    <w:uiPriority w:val="99"/>
    <w:semiHidden/>
    <w:unhideWhenUsed/>
    <w:rsid w:val="00343E15"/>
    <w:rPr>
      <w:sz w:val="16"/>
      <w:szCs w:val="16"/>
    </w:rPr>
  </w:style>
  <w:style w:type="paragraph" w:styleId="Testocommento">
    <w:name w:val="annotation text"/>
    <w:basedOn w:val="Normale"/>
    <w:link w:val="TestocommentoCarattere"/>
    <w:uiPriority w:val="99"/>
    <w:semiHidden/>
    <w:unhideWhenUsed/>
    <w:rsid w:val="00343E15"/>
    <w:rPr>
      <w:sz w:val="20"/>
      <w:szCs w:val="20"/>
    </w:rPr>
  </w:style>
  <w:style w:type="character" w:customStyle="1" w:styleId="TestocommentoCarattere">
    <w:name w:val="Testo commento Carattere"/>
    <w:basedOn w:val="Carpredefinitoparagrafo"/>
    <w:link w:val="Testocommento"/>
    <w:uiPriority w:val="99"/>
    <w:semiHidden/>
    <w:rsid w:val="00343E15"/>
    <w:rPr>
      <w:sz w:val="20"/>
      <w:szCs w:val="20"/>
      <w:lang w:val="en-US"/>
    </w:rPr>
  </w:style>
  <w:style w:type="paragraph" w:styleId="Soggettocommento">
    <w:name w:val="annotation subject"/>
    <w:basedOn w:val="Testocommento"/>
    <w:next w:val="Testocommento"/>
    <w:link w:val="SoggettocommentoCarattere"/>
    <w:uiPriority w:val="99"/>
    <w:semiHidden/>
    <w:unhideWhenUsed/>
    <w:rsid w:val="00343E15"/>
    <w:rPr>
      <w:b/>
      <w:bCs/>
    </w:rPr>
  </w:style>
  <w:style w:type="character" w:customStyle="1" w:styleId="SoggettocommentoCarattere">
    <w:name w:val="Soggetto commento Carattere"/>
    <w:basedOn w:val="TestocommentoCarattere"/>
    <w:link w:val="Soggettocommento"/>
    <w:uiPriority w:val="99"/>
    <w:semiHidden/>
    <w:rsid w:val="00343E15"/>
    <w:rPr>
      <w:b/>
      <w:bCs/>
      <w:sz w:val="20"/>
      <w:szCs w:val="20"/>
      <w:lang w:val="en-US"/>
    </w:rPr>
  </w:style>
  <w:style w:type="paragraph" w:styleId="Testofumetto">
    <w:name w:val="Balloon Text"/>
    <w:basedOn w:val="Normale"/>
    <w:link w:val="TestofumettoCarattere"/>
    <w:uiPriority w:val="99"/>
    <w:semiHidden/>
    <w:unhideWhenUsed/>
    <w:rsid w:val="00343E1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43E15"/>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3143</Characters>
  <Application>Microsoft Office Word</Application>
  <DocSecurity>0</DocSecurity>
  <Lines>26</Lines>
  <Paragraphs>7</Paragraphs>
  <ScaleCrop>false</ScaleCrop>
  <HeadingPairs>
    <vt:vector size="6" baseType="variant">
      <vt:variant>
        <vt:lpstr>Titolo</vt:lpstr>
      </vt:variant>
      <vt:variant>
        <vt:i4>1</vt:i4>
      </vt:variant>
      <vt:variant>
        <vt:lpstr>Titre</vt:lpstr>
      </vt:variant>
      <vt:variant>
        <vt:i4>1</vt:i4>
      </vt:variant>
      <vt:variant>
        <vt:lpstr>Headings</vt:lpstr>
      </vt:variant>
      <vt:variant>
        <vt:i4>11</vt:i4>
      </vt:variant>
    </vt:vector>
  </HeadingPairs>
  <TitlesOfParts>
    <vt:vector size="13" baseType="lpstr">
      <vt:lpstr/>
      <vt:lpstr/>
      <vt:lpstr>Case name: open question (requirement of anonymous reference)</vt:lpstr>
      <vt:lpstr>Keywords: </vt:lpstr>
      <vt:lpstr>Facts: </vt:lpstr>
      <vt:lpstr>Legal analysis:</vt:lpstr>
      <vt:lpstr>Legal solution:</vt:lpstr>
      <vt:lpstr>Applied solution: </vt:lpstr>
      <vt:lpstr>Particular note:</vt:lpstr>
      <vt:lpstr>KEYWORDS: </vt:lpstr>
      <vt:lpstr/>
      <vt:lpstr>Sale contract-furniture-seller-manufacturer-default of conformity-burden of proo</vt:lpstr>
      <vt:lpstr>FACTS:</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Maria Cecilia Paglietti</cp:lastModifiedBy>
  <cp:revision>5</cp:revision>
  <dcterms:created xsi:type="dcterms:W3CDTF">2020-07-21T13:22:00Z</dcterms:created>
  <dcterms:modified xsi:type="dcterms:W3CDTF">2020-07-27T18:07:00Z</dcterms:modified>
</cp:coreProperties>
</file>