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CE9" w:rsidRPr="007C1C78" w:rsidRDefault="003C0CE9" w:rsidP="00A222E8">
      <w:pPr>
        <w:spacing w:after="0" w:line="240" w:lineRule="auto"/>
        <w:jc w:val="both"/>
        <w:rPr>
          <w:rFonts w:asciiTheme="majorHAnsi" w:hAnsiTheme="majorHAnsi"/>
          <w:b/>
          <w:lang w:val="en-US"/>
        </w:rPr>
      </w:pPr>
      <w:bookmarkStart w:id="0" w:name="_GoBack"/>
    </w:p>
    <w:p w:rsidR="003C0CE9" w:rsidRPr="007C1C78" w:rsidRDefault="003C0CE9" w:rsidP="00A222E8">
      <w:pPr>
        <w:spacing w:after="0" w:line="240" w:lineRule="auto"/>
        <w:jc w:val="both"/>
        <w:rPr>
          <w:rFonts w:asciiTheme="majorHAnsi" w:hAnsiTheme="majorHAnsi"/>
          <w:lang w:val="en-US"/>
        </w:rPr>
      </w:pPr>
    </w:p>
    <w:p w:rsidR="00463A60" w:rsidRPr="007C1C78" w:rsidRDefault="003C0CE9" w:rsidP="00653DE3">
      <w:pPr>
        <w:spacing w:after="0" w:line="240" w:lineRule="auto"/>
        <w:jc w:val="center"/>
        <w:rPr>
          <w:rFonts w:asciiTheme="majorHAnsi" w:hAnsiTheme="majorHAnsi"/>
          <w:b/>
          <w:highlight w:val="lightGray"/>
          <w:lang w:val="en-US"/>
        </w:rPr>
      </w:pPr>
      <w:r w:rsidRPr="007C1C78">
        <w:rPr>
          <w:rFonts w:asciiTheme="majorHAnsi" w:hAnsiTheme="majorHAnsi"/>
          <w:b/>
          <w:highlight w:val="lightGray"/>
          <w:lang w:val="en-US"/>
        </w:rPr>
        <w:t>The “</w:t>
      </w:r>
      <w:r w:rsidR="00E4341E" w:rsidRPr="007C1C78">
        <w:rPr>
          <w:rFonts w:asciiTheme="majorHAnsi" w:hAnsiTheme="majorHAnsi"/>
          <w:b/>
          <w:highlight w:val="lightGray"/>
          <w:lang w:val="en-US"/>
        </w:rPr>
        <w:t>X</w:t>
      </w:r>
      <w:r w:rsidRPr="007C1C78">
        <w:rPr>
          <w:rFonts w:asciiTheme="majorHAnsi" w:hAnsiTheme="majorHAnsi"/>
          <w:b/>
          <w:bCs/>
          <w:highlight w:val="lightGray"/>
          <w:lang w:val="en"/>
        </w:rPr>
        <w:t xml:space="preserve"> </w:t>
      </w:r>
      <w:r w:rsidRPr="007C1C78">
        <w:rPr>
          <w:rFonts w:asciiTheme="majorHAnsi" w:hAnsiTheme="majorHAnsi"/>
          <w:b/>
          <w:highlight w:val="lightGray"/>
          <w:lang w:val="en-US"/>
        </w:rPr>
        <w:t xml:space="preserve">case” </w:t>
      </w:r>
    </w:p>
    <w:p w:rsidR="003C0CE9" w:rsidRPr="007C1C78" w:rsidRDefault="003C0CE9" w:rsidP="00653DE3">
      <w:pPr>
        <w:spacing w:after="0" w:line="240" w:lineRule="auto"/>
        <w:jc w:val="center"/>
        <w:rPr>
          <w:rFonts w:asciiTheme="majorHAnsi" w:hAnsiTheme="majorHAnsi"/>
          <w:b/>
          <w:lang w:val="en-GB"/>
        </w:rPr>
      </w:pPr>
      <w:r w:rsidRPr="007C1C78">
        <w:rPr>
          <w:rFonts w:asciiTheme="majorHAnsi" w:hAnsiTheme="majorHAnsi"/>
          <w:b/>
          <w:highlight w:val="lightGray"/>
          <w:lang w:val="en-US"/>
        </w:rPr>
        <w:t>(</w:t>
      </w:r>
      <w:r w:rsidR="00463A60" w:rsidRPr="007C1C78">
        <w:rPr>
          <w:rFonts w:asciiTheme="majorHAnsi" w:hAnsiTheme="majorHAnsi"/>
          <w:b/>
          <w:iCs/>
          <w:highlight w:val="lightGray"/>
          <w:lang w:val="en-US"/>
        </w:rPr>
        <w:t>Credit agreements for consumers</w:t>
      </w:r>
      <w:r w:rsidR="00463A60" w:rsidRPr="007C1C78">
        <w:rPr>
          <w:rFonts w:asciiTheme="majorHAnsi" w:hAnsiTheme="majorHAnsi"/>
          <w:b/>
          <w:i/>
          <w:iCs/>
          <w:highlight w:val="lightGray"/>
          <w:lang w:val="en-US"/>
        </w:rPr>
        <w:t xml:space="preserve"> - </w:t>
      </w:r>
      <w:r w:rsidR="00D71857" w:rsidRPr="007C1C78">
        <w:rPr>
          <w:rFonts w:asciiTheme="majorHAnsi" w:hAnsiTheme="majorHAnsi"/>
          <w:b/>
          <w:highlight w:val="lightGray"/>
          <w:lang w:val="en-US"/>
        </w:rPr>
        <w:t>A.A. 2017/2018</w:t>
      </w:r>
      <w:r w:rsidRPr="007C1C78">
        <w:rPr>
          <w:rFonts w:asciiTheme="majorHAnsi" w:hAnsiTheme="majorHAnsi"/>
          <w:b/>
          <w:highlight w:val="lightGray"/>
          <w:lang w:val="en-US"/>
        </w:rPr>
        <w:t>)</w:t>
      </w:r>
    </w:p>
    <w:p w:rsidR="003C0CE9" w:rsidRPr="007C1C78" w:rsidRDefault="003C0CE9" w:rsidP="00A222E8">
      <w:pPr>
        <w:spacing w:after="0" w:line="240" w:lineRule="auto"/>
        <w:jc w:val="both"/>
        <w:rPr>
          <w:rFonts w:asciiTheme="majorHAnsi" w:hAnsiTheme="majorHAnsi"/>
          <w:lang w:val="en-GB"/>
        </w:rPr>
      </w:pPr>
    </w:p>
    <w:p w:rsidR="003C0CE9" w:rsidRPr="007C1C78" w:rsidRDefault="003C0CE9" w:rsidP="00A222E8">
      <w:pPr>
        <w:spacing w:after="0" w:line="240" w:lineRule="auto"/>
        <w:jc w:val="both"/>
        <w:rPr>
          <w:rFonts w:asciiTheme="majorHAnsi" w:hAnsiTheme="majorHAnsi"/>
          <w:b/>
          <w:lang w:val="en-US"/>
        </w:rPr>
      </w:pPr>
      <w:r w:rsidRPr="007C1C78">
        <w:rPr>
          <w:rFonts w:asciiTheme="majorHAnsi" w:hAnsiTheme="majorHAnsi"/>
          <w:b/>
          <w:lang w:val="en-US"/>
        </w:rPr>
        <w:t xml:space="preserve">KEYWORDS: </w:t>
      </w:r>
    </w:p>
    <w:p w:rsidR="00653DE3" w:rsidRPr="007C1C78" w:rsidRDefault="00653DE3" w:rsidP="00A222E8">
      <w:pPr>
        <w:spacing w:after="0" w:line="240" w:lineRule="auto"/>
        <w:jc w:val="both"/>
        <w:rPr>
          <w:rFonts w:asciiTheme="majorHAnsi" w:hAnsiTheme="majorHAnsi"/>
          <w:b/>
          <w:i/>
          <w:iCs/>
          <w:lang w:val="en-US"/>
        </w:rPr>
      </w:pPr>
    </w:p>
    <w:p w:rsidR="003C0CE9" w:rsidRPr="007C1C78" w:rsidRDefault="00D71857" w:rsidP="00A222E8">
      <w:pPr>
        <w:spacing w:after="0" w:line="240" w:lineRule="auto"/>
        <w:jc w:val="both"/>
        <w:rPr>
          <w:rFonts w:asciiTheme="majorHAnsi" w:hAnsiTheme="majorHAnsi"/>
          <w:lang w:val="en-GB"/>
        </w:rPr>
      </w:pPr>
      <w:r w:rsidRPr="007C1C78">
        <w:rPr>
          <w:rFonts w:asciiTheme="majorHAnsi" w:hAnsiTheme="majorHAnsi"/>
          <w:i/>
          <w:iCs/>
          <w:lang w:val="en-US"/>
        </w:rPr>
        <w:t xml:space="preserve">Credit agreements for consumers — Early repayment — Right of the consumer to a reduction in the total cost of the credit </w:t>
      </w:r>
      <w:r w:rsidR="00463A60" w:rsidRPr="007C1C78">
        <w:rPr>
          <w:rFonts w:asciiTheme="majorHAnsi" w:hAnsiTheme="majorHAnsi"/>
          <w:i/>
          <w:iCs/>
          <w:lang w:val="en-US"/>
        </w:rPr>
        <w:t>— I</w:t>
      </w:r>
      <w:r w:rsidRPr="007C1C78">
        <w:rPr>
          <w:rFonts w:asciiTheme="majorHAnsi" w:hAnsiTheme="majorHAnsi"/>
          <w:i/>
          <w:iCs/>
          <w:lang w:val="en-US"/>
        </w:rPr>
        <w:t>nterest and the costs for the rema</w:t>
      </w:r>
      <w:r w:rsidR="00463A60" w:rsidRPr="007C1C78">
        <w:rPr>
          <w:rFonts w:asciiTheme="majorHAnsi" w:hAnsiTheme="majorHAnsi"/>
          <w:i/>
          <w:iCs/>
          <w:lang w:val="en-US"/>
        </w:rPr>
        <w:t xml:space="preserve">ining duration of the contract </w:t>
      </w:r>
      <w:proofErr w:type="gramStart"/>
      <w:r w:rsidR="00463A60" w:rsidRPr="007C1C78">
        <w:rPr>
          <w:rFonts w:asciiTheme="majorHAnsi" w:hAnsiTheme="majorHAnsi"/>
          <w:i/>
          <w:iCs/>
          <w:lang w:val="en-US"/>
        </w:rPr>
        <w:t>—  T</w:t>
      </w:r>
      <w:r w:rsidRPr="007C1C78">
        <w:rPr>
          <w:rFonts w:asciiTheme="majorHAnsi" w:hAnsiTheme="majorHAnsi"/>
          <w:i/>
          <w:iCs/>
          <w:lang w:val="en-US"/>
        </w:rPr>
        <w:t>ransparency</w:t>
      </w:r>
      <w:proofErr w:type="gramEnd"/>
      <w:r w:rsidRPr="007C1C78">
        <w:rPr>
          <w:rFonts w:asciiTheme="majorHAnsi" w:hAnsiTheme="majorHAnsi"/>
          <w:i/>
          <w:iCs/>
          <w:lang w:val="en-US"/>
        </w:rPr>
        <w:t xml:space="preserve"> </w:t>
      </w:r>
      <w:r w:rsidR="00463A60" w:rsidRPr="007C1C78">
        <w:rPr>
          <w:rFonts w:asciiTheme="majorHAnsi" w:hAnsiTheme="majorHAnsi"/>
          <w:i/>
          <w:iCs/>
          <w:lang w:val="en-US"/>
        </w:rPr>
        <w:t>— R</w:t>
      </w:r>
      <w:r w:rsidRPr="007C1C78">
        <w:rPr>
          <w:rFonts w:asciiTheme="majorHAnsi" w:hAnsiTheme="majorHAnsi"/>
          <w:i/>
          <w:iCs/>
          <w:lang w:val="en-US"/>
        </w:rPr>
        <w:t>eadability of graphic characters</w:t>
      </w:r>
      <w:r w:rsidR="001B16E9" w:rsidRPr="007C1C78">
        <w:rPr>
          <w:rFonts w:asciiTheme="majorHAnsi" w:hAnsiTheme="majorHAnsi"/>
          <w:i/>
          <w:iCs/>
          <w:lang w:val="en-US"/>
        </w:rPr>
        <w:t>.</w:t>
      </w:r>
      <w:r w:rsidRPr="007C1C78">
        <w:rPr>
          <w:rFonts w:asciiTheme="majorHAnsi" w:hAnsiTheme="majorHAnsi"/>
          <w:i/>
          <w:iCs/>
          <w:lang w:val="en-US"/>
        </w:rPr>
        <w:t> </w:t>
      </w:r>
    </w:p>
    <w:p w:rsidR="00653DE3" w:rsidRPr="007C1C78" w:rsidRDefault="00653DE3" w:rsidP="00A222E8">
      <w:pPr>
        <w:spacing w:after="0" w:line="240" w:lineRule="auto"/>
        <w:jc w:val="both"/>
        <w:rPr>
          <w:rFonts w:asciiTheme="majorHAnsi" w:hAnsiTheme="majorHAnsi"/>
          <w:b/>
          <w:lang w:val="en-US"/>
        </w:rPr>
      </w:pPr>
    </w:p>
    <w:p w:rsidR="003C0CE9" w:rsidRPr="007C1C78" w:rsidRDefault="003C0CE9" w:rsidP="00A222E8">
      <w:pPr>
        <w:spacing w:after="0" w:line="240" w:lineRule="auto"/>
        <w:jc w:val="both"/>
        <w:rPr>
          <w:rFonts w:asciiTheme="majorHAnsi" w:hAnsiTheme="majorHAnsi"/>
          <w:b/>
          <w:lang w:val="en-US"/>
        </w:rPr>
      </w:pPr>
      <w:r w:rsidRPr="007C1C78">
        <w:rPr>
          <w:rFonts w:asciiTheme="majorHAnsi" w:hAnsiTheme="majorHAnsi"/>
          <w:b/>
          <w:lang w:val="en-US"/>
        </w:rPr>
        <w:t>FACTS:</w:t>
      </w:r>
    </w:p>
    <w:p w:rsidR="00D71857" w:rsidRPr="007C1C78" w:rsidRDefault="00D71857" w:rsidP="00A222E8">
      <w:pPr>
        <w:spacing w:after="0" w:line="240" w:lineRule="auto"/>
        <w:jc w:val="both"/>
        <w:rPr>
          <w:rFonts w:asciiTheme="majorHAnsi" w:hAnsiTheme="majorHAnsi"/>
          <w:lang w:val="en-GB"/>
        </w:rPr>
      </w:pPr>
      <w:r w:rsidRPr="007C1C78">
        <w:rPr>
          <w:rFonts w:asciiTheme="majorHAnsi" w:hAnsiTheme="majorHAnsi"/>
          <w:lang w:val="en-GB"/>
        </w:rPr>
        <w:t xml:space="preserve">On 30 November 2017, Mr </w:t>
      </w:r>
      <w:r w:rsidR="00B400D4" w:rsidRPr="007C1C78">
        <w:rPr>
          <w:rFonts w:asciiTheme="majorHAnsi" w:hAnsiTheme="majorHAnsi"/>
          <w:lang w:val="en-GB"/>
        </w:rPr>
        <w:t>C</w:t>
      </w:r>
      <w:r w:rsidRPr="007C1C78">
        <w:rPr>
          <w:rFonts w:asciiTheme="majorHAnsi" w:hAnsiTheme="majorHAnsi"/>
          <w:lang w:val="en-GB"/>
        </w:rPr>
        <w:t xml:space="preserve"> executed a salary-backed loan with </w:t>
      </w:r>
      <w:r w:rsidR="00B400D4" w:rsidRPr="007C1C78">
        <w:rPr>
          <w:rFonts w:asciiTheme="majorHAnsi" w:hAnsiTheme="majorHAnsi"/>
          <w:lang w:val="en-GB"/>
        </w:rPr>
        <w:t>the bank XY</w:t>
      </w:r>
      <w:r w:rsidRPr="007C1C78">
        <w:rPr>
          <w:rFonts w:asciiTheme="majorHAnsi" w:hAnsiTheme="majorHAnsi"/>
          <w:lang w:val="en-GB"/>
        </w:rPr>
        <w:t xml:space="preserve"> for a total of Euro 28,500.00, for the purpose of purchasing a remainder interest in a parcel of real estate. At the moment the loan agreement was executed, the bank director advised Mr C</w:t>
      </w:r>
      <w:r w:rsidR="00B400D4" w:rsidRPr="007C1C78">
        <w:rPr>
          <w:rFonts w:asciiTheme="majorHAnsi" w:hAnsiTheme="majorHAnsi"/>
          <w:lang w:val="en-GB"/>
        </w:rPr>
        <w:t xml:space="preserve"> </w:t>
      </w:r>
      <w:r w:rsidRPr="007C1C78">
        <w:rPr>
          <w:rFonts w:asciiTheme="majorHAnsi" w:hAnsiTheme="majorHAnsi"/>
          <w:lang w:val="en-GB"/>
        </w:rPr>
        <w:t xml:space="preserve">that the commissions applicable to the transaction would be amortised over the term of the loan, and thus coincide with the 120 </w:t>
      </w:r>
      <w:proofErr w:type="spellStart"/>
      <w:r w:rsidRPr="007C1C78">
        <w:rPr>
          <w:rFonts w:asciiTheme="majorHAnsi" w:hAnsiTheme="majorHAnsi"/>
          <w:lang w:val="en-GB"/>
        </w:rPr>
        <w:t>installments</w:t>
      </w:r>
      <w:proofErr w:type="spellEnd"/>
      <w:r w:rsidRPr="007C1C78">
        <w:rPr>
          <w:rFonts w:asciiTheme="majorHAnsi" w:hAnsiTheme="majorHAnsi"/>
          <w:lang w:val="en-GB"/>
        </w:rPr>
        <w:t xml:space="preserve"> contemplated under the repayment plan. </w:t>
      </w:r>
    </w:p>
    <w:p w:rsidR="00D71857" w:rsidRPr="007C1C78" w:rsidRDefault="00D71857" w:rsidP="00A222E8">
      <w:pPr>
        <w:spacing w:after="0" w:line="240" w:lineRule="auto"/>
        <w:jc w:val="both"/>
        <w:rPr>
          <w:rFonts w:asciiTheme="majorHAnsi" w:hAnsiTheme="majorHAnsi"/>
          <w:lang w:val="en-GB"/>
        </w:rPr>
      </w:pPr>
      <w:r w:rsidRPr="007C1C78">
        <w:rPr>
          <w:rFonts w:asciiTheme="majorHAnsi" w:hAnsiTheme="majorHAnsi"/>
          <w:lang w:val="en-GB"/>
        </w:rPr>
        <w:t>On 6 February 2018, Mr C</w:t>
      </w:r>
      <w:r w:rsidR="00B400D4" w:rsidRPr="007C1C78">
        <w:rPr>
          <w:rFonts w:asciiTheme="majorHAnsi" w:hAnsiTheme="majorHAnsi"/>
          <w:lang w:val="en-GB"/>
        </w:rPr>
        <w:t xml:space="preserve"> </w:t>
      </w:r>
      <w:r w:rsidRPr="007C1C78">
        <w:rPr>
          <w:rFonts w:asciiTheme="majorHAnsi" w:hAnsiTheme="majorHAnsi"/>
          <w:lang w:val="en-GB"/>
        </w:rPr>
        <w:t xml:space="preserve">saw Euro 26,703.58 deposited rather than the Euro 28,505.18 as approved, representing a shortfall of Euro 1,801.60, inexplicably withheld by </w:t>
      </w:r>
      <w:proofErr w:type="spellStart"/>
      <w:r w:rsidRPr="007C1C78">
        <w:rPr>
          <w:rFonts w:asciiTheme="majorHAnsi" w:hAnsiTheme="majorHAnsi"/>
          <w:lang w:val="en-GB"/>
        </w:rPr>
        <w:t>Unicredit</w:t>
      </w:r>
      <w:proofErr w:type="spellEnd"/>
      <w:r w:rsidRPr="007C1C78">
        <w:rPr>
          <w:rFonts w:asciiTheme="majorHAnsi" w:hAnsiTheme="majorHAnsi"/>
          <w:lang w:val="en-GB"/>
        </w:rPr>
        <w:t xml:space="preserve"> as a commission. At that same time, Mr C</w:t>
      </w:r>
      <w:r w:rsidR="00B400D4" w:rsidRPr="007C1C78">
        <w:rPr>
          <w:rFonts w:asciiTheme="majorHAnsi" w:hAnsiTheme="majorHAnsi"/>
          <w:lang w:val="en-GB"/>
        </w:rPr>
        <w:t xml:space="preserve"> </w:t>
      </w:r>
      <w:r w:rsidRPr="007C1C78">
        <w:rPr>
          <w:rFonts w:asciiTheme="majorHAnsi" w:hAnsiTheme="majorHAnsi"/>
          <w:lang w:val="en-GB"/>
        </w:rPr>
        <w:t>realised he had not been given a copy of the loan agreement at signing. He then contacted the bank director and requested a copy of the signed version of the agreement, and the specifications on the loan charges to be applied.</w:t>
      </w:r>
    </w:p>
    <w:p w:rsidR="00D71857" w:rsidRPr="007C1C78" w:rsidRDefault="00D71857" w:rsidP="00A222E8">
      <w:pPr>
        <w:spacing w:after="0" w:line="240" w:lineRule="auto"/>
        <w:jc w:val="both"/>
        <w:rPr>
          <w:rFonts w:asciiTheme="majorHAnsi" w:hAnsiTheme="majorHAnsi"/>
          <w:lang w:val="en-GB"/>
        </w:rPr>
      </w:pPr>
      <w:r w:rsidRPr="007C1C78">
        <w:rPr>
          <w:rFonts w:asciiTheme="majorHAnsi" w:hAnsiTheme="majorHAnsi"/>
          <w:lang w:val="en-GB"/>
        </w:rPr>
        <w:t>Other requests followed. Finally, on 3 April 2018, the bank replied for the first time to Mr C</w:t>
      </w:r>
      <w:r w:rsidR="00B400D4" w:rsidRPr="007C1C78">
        <w:rPr>
          <w:rFonts w:asciiTheme="majorHAnsi" w:hAnsiTheme="majorHAnsi"/>
          <w:lang w:val="en-GB"/>
        </w:rPr>
        <w:t>’</w:t>
      </w:r>
      <w:r w:rsidRPr="007C1C78">
        <w:rPr>
          <w:rFonts w:asciiTheme="majorHAnsi" w:hAnsiTheme="majorHAnsi"/>
          <w:lang w:val="en-GB"/>
        </w:rPr>
        <w:t>s requests, noting that the commissions charged included Euro 400.00 as a “file-opening fee” and Euro 1,401.60 for “broker commissions”, a line item which was not more clearly specified. Yet, once again, the Bank failed to provide Mr C</w:t>
      </w:r>
      <w:r w:rsidR="00B400D4" w:rsidRPr="007C1C78">
        <w:rPr>
          <w:rFonts w:asciiTheme="majorHAnsi" w:hAnsiTheme="majorHAnsi"/>
          <w:lang w:val="en-GB"/>
        </w:rPr>
        <w:t xml:space="preserve"> </w:t>
      </w:r>
      <w:r w:rsidRPr="007C1C78">
        <w:rPr>
          <w:rFonts w:asciiTheme="majorHAnsi" w:hAnsiTheme="majorHAnsi"/>
          <w:lang w:val="en-GB"/>
        </w:rPr>
        <w:t>a copy of the signed agreement.</w:t>
      </w:r>
    </w:p>
    <w:p w:rsidR="00D71857" w:rsidRPr="007C1C78" w:rsidRDefault="00D71857" w:rsidP="00A222E8">
      <w:pPr>
        <w:spacing w:after="0" w:line="240" w:lineRule="auto"/>
        <w:jc w:val="both"/>
        <w:rPr>
          <w:rFonts w:asciiTheme="majorHAnsi" w:hAnsiTheme="majorHAnsi"/>
          <w:lang w:val="en-GB"/>
        </w:rPr>
      </w:pPr>
      <w:r w:rsidRPr="007C1C78">
        <w:rPr>
          <w:rFonts w:asciiTheme="majorHAnsi" w:hAnsiTheme="majorHAnsi"/>
          <w:lang w:val="en-GB"/>
        </w:rPr>
        <w:t>Thereafter, in email correspondence of 19 April 2018, following a further request, the bank finally sent plaintiff a copy, albeit an illegible one, of the agreement.</w:t>
      </w:r>
    </w:p>
    <w:p w:rsidR="008718DC" w:rsidRPr="007C1C78" w:rsidRDefault="008718DC" w:rsidP="00A222E8">
      <w:pPr>
        <w:spacing w:after="0" w:line="240" w:lineRule="auto"/>
        <w:jc w:val="both"/>
        <w:rPr>
          <w:rFonts w:asciiTheme="majorHAnsi" w:hAnsiTheme="majorHAnsi"/>
          <w:i/>
          <w:lang w:val="en-GB"/>
        </w:rPr>
      </w:pPr>
    </w:p>
    <w:p w:rsidR="00D71857" w:rsidRPr="007C1C78" w:rsidRDefault="00D71857" w:rsidP="00A222E8">
      <w:pPr>
        <w:spacing w:after="0" w:line="240" w:lineRule="auto"/>
        <w:jc w:val="both"/>
        <w:rPr>
          <w:rFonts w:asciiTheme="majorHAnsi" w:hAnsiTheme="majorHAnsi"/>
          <w:i/>
          <w:lang w:val="en-GB"/>
        </w:rPr>
      </w:pPr>
      <w:r w:rsidRPr="007C1C78">
        <w:rPr>
          <w:rFonts w:asciiTheme="majorHAnsi" w:hAnsiTheme="majorHAnsi"/>
          <w:i/>
          <w:lang w:val="en-GB"/>
        </w:rPr>
        <w:t>Mr. C</w:t>
      </w:r>
      <w:r w:rsidR="00B400D4" w:rsidRPr="007C1C78">
        <w:rPr>
          <w:rFonts w:asciiTheme="majorHAnsi" w:hAnsiTheme="majorHAnsi"/>
          <w:i/>
          <w:lang w:val="en-GB"/>
        </w:rPr>
        <w:t xml:space="preserve"> </w:t>
      </w:r>
      <w:r w:rsidRPr="007C1C78">
        <w:rPr>
          <w:rFonts w:asciiTheme="majorHAnsi" w:hAnsiTheme="majorHAnsi"/>
          <w:i/>
          <w:lang w:val="en-GB"/>
        </w:rPr>
        <w:t>then contacted our legal clinic to determine whether the fees charged, and the stance taken, by the bank, complied with the law, and thus whether he had standing to sue for damages.</w:t>
      </w:r>
    </w:p>
    <w:p w:rsidR="003C0CE9" w:rsidRPr="007C1C78" w:rsidRDefault="003C0CE9" w:rsidP="00A222E8">
      <w:pPr>
        <w:spacing w:after="0" w:line="240" w:lineRule="auto"/>
        <w:jc w:val="both"/>
        <w:rPr>
          <w:rFonts w:asciiTheme="majorHAnsi" w:hAnsiTheme="majorHAnsi"/>
          <w:lang w:val="en-GB"/>
        </w:rPr>
      </w:pPr>
    </w:p>
    <w:p w:rsidR="003C0CE9" w:rsidRPr="007C1C78" w:rsidRDefault="003C0CE9" w:rsidP="00A222E8">
      <w:pPr>
        <w:spacing w:after="0" w:line="240" w:lineRule="auto"/>
        <w:jc w:val="both"/>
        <w:rPr>
          <w:rFonts w:asciiTheme="majorHAnsi" w:hAnsiTheme="majorHAnsi"/>
          <w:lang w:val="en-US"/>
        </w:rPr>
      </w:pPr>
      <w:r w:rsidRPr="007C1C78">
        <w:rPr>
          <w:rFonts w:asciiTheme="majorHAnsi" w:hAnsiTheme="majorHAnsi"/>
          <w:b/>
          <w:lang w:val="en-US"/>
        </w:rPr>
        <w:t>LEGAL ANALYSIS:</w:t>
      </w:r>
    </w:p>
    <w:p w:rsidR="00BC736E" w:rsidRPr="007C1C78" w:rsidRDefault="00D71857" w:rsidP="00F01EBE">
      <w:pPr>
        <w:spacing w:after="0" w:line="240" w:lineRule="auto"/>
        <w:jc w:val="both"/>
        <w:rPr>
          <w:rFonts w:asciiTheme="majorHAnsi" w:hAnsiTheme="majorHAnsi"/>
          <w:lang w:val="en-US"/>
        </w:rPr>
      </w:pPr>
      <w:r w:rsidRPr="007C1C78">
        <w:rPr>
          <w:rFonts w:asciiTheme="majorHAnsi" w:hAnsiTheme="majorHAnsi"/>
          <w:lang w:val="en-US"/>
        </w:rPr>
        <w:t xml:space="preserve">The </w:t>
      </w:r>
      <w:proofErr w:type="spellStart"/>
      <w:r w:rsidRPr="007C1C78">
        <w:rPr>
          <w:rFonts w:asciiTheme="majorHAnsi" w:hAnsiTheme="majorHAnsi"/>
          <w:lang w:val="en-US"/>
        </w:rPr>
        <w:t>Arbitro</w:t>
      </w:r>
      <w:proofErr w:type="spellEnd"/>
      <w:r w:rsidRPr="007C1C78">
        <w:rPr>
          <w:rFonts w:asciiTheme="majorHAnsi" w:hAnsiTheme="majorHAnsi"/>
          <w:lang w:val="en-US"/>
        </w:rPr>
        <w:t xml:space="preserve"> </w:t>
      </w:r>
      <w:proofErr w:type="spellStart"/>
      <w:r w:rsidRPr="007C1C78">
        <w:rPr>
          <w:rFonts w:asciiTheme="majorHAnsi" w:hAnsiTheme="majorHAnsi"/>
          <w:lang w:val="en-US"/>
        </w:rPr>
        <w:t>Bancario</w:t>
      </w:r>
      <w:proofErr w:type="spellEnd"/>
      <w:r w:rsidRPr="007C1C78">
        <w:rPr>
          <w:rFonts w:asciiTheme="majorHAnsi" w:hAnsiTheme="majorHAnsi"/>
          <w:lang w:val="en-US"/>
        </w:rPr>
        <w:t xml:space="preserve"> e </w:t>
      </w:r>
      <w:proofErr w:type="spellStart"/>
      <w:r w:rsidRPr="007C1C78">
        <w:rPr>
          <w:rFonts w:asciiTheme="majorHAnsi" w:hAnsiTheme="majorHAnsi"/>
          <w:lang w:val="en-US"/>
        </w:rPr>
        <w:t>Finanziario</w:t>
      </w:r>
      <w:proofErr w:type="spellEnd"/>
      <w:r w:rsidR="00463A60" w:rsidRPr="007C1C78">
        <w:rPr>
          <w:rFonts w:asciiTheme="majorHAnsi" w:hAnsiTheme="majorHAnsi"/>
          <w:lang w:val="en-US"/>
        </w:rPr>
        <w:t xml:space="preserve"> (ABF)</w:t>
      </w:r>
      <w:r w:rsidR="00BC736E" w:rsidRPr="007C1C78">
        <w:rPr>
          <w:rFonts w:asciiTheme="majorHAnsi" w:hAnsiTheme="majorHAnsi"/>
          <w:lang w:val="en-US"/>
        </w:rPr>
        <w:t xml:space="preserve">, </w:t>
      </w:r>
      <w:r w:rsidR="00F01EBE" w:rsidRPr="007C1C78">
        <w:rPr>
          <w:rFonts w:asciiTheme="majorHAnsi" w:hAnsiTheme="majorHAnsi"/>
          <w:lang w:val="en-US"/>
        </w:rPr>
        <w:t xml:space="preserve">according to the timeline of events created at the time </w:t>
      </w:r>
      <w:r w:rsidR="00BC736E" w:rsidRPr="007C1C78">
        <w:rPr>
          <w:rFonts w:asciiTheme="majorHAnsi" w:hAnsiTheme="majorHAnsi"/>
          <w:lang w:val="en-US"/>
        </w:rPr>
        <w:t>(2018</w:t>
      </w:r>
      <w:r w:rsidR="000C55E6" w:rsidRPr="007C1C78">
        <w:rPr>
          <w:rFonts w:asciiTheme="majorHAnsi" w:hAnsiTheme="majorHAnsi"/>
          <w:lang w:val="en-US"/>
        </w:rPr>
        <w:t xml:space="preserve">, ante </w:t>
      </w:r>
      <w:proofErr w:type="spellStart"/>
      <w:r w:rsidR="000C55E6" w:rsidRPr="007C1C78">
        <w:rPr>
          <w:rFonts w:asciiTheme="majorHAnsi" w:hAnsiTheme="majorHAnsi"/>
          <w:lang w:val="en-US"/>
        </w:rPr>
        <w:t>Lexitor</w:t>
      </w:r>
      <w:proofErr w:type="spellEnd"/>
      <w:r w:rsidR="000C55E6" w:rsidRPr="007C1C78">
        <w:rPr>
          <w:rFonts w:asciiTheme="majorHAnsi" w:hAnsiTheme="majorHAnsi"/>
          <w:lang w:val="en-US"/>
        </w:rPr>
        <w:t>, CGUE Case C</w:t>
      </w:r>
      <w:r w:rsidR="000C55E6" w:rsidRPr="007C1C78">
        <w:rPr>
          <w:rFonts w:asciiTheme="majorHAnsi" w:hAnsiTheme="majorHAnsi"/>
          <w:lang w:val="en-US"/>
        </w:rPr>
        <w:noBreakHyphen/>
        <w:t>383/18</w:t>
      </w:r>
      <w:r w:rsidR="00BC736E" w:rsidRPr="007C1C78">
        <w:rPr>
          <w:rFonts w:asciiTheme="majorHAnsi" w:hAnsiTheme="majorHAnsi"/>
          <w:lang w:val="en-US"/>
        </w:rPr>
        <w:t>)</w:t>
      </w:r>
      <w:r w:rsidRPr="007C1C78">
        <w:rPr>
          <w:rFonts w:asciiTheme="majorHAnsi" w:hAnsiTheme="majorHAnsi"/>
          <w:lang w:val="en-US"/>
        </w:rPr>
        <w:t xml:space="preserve"> highlighted that intermediaries must set forth clear contract terms, which distinguish between costs relating to the signing of the contract or to other preliminary activities ( ‘upfront’ costs, that are not reimbursed in case of early termination of the contract) and costs referring to the duration of the contract (‘recurring’ costs, that shall be refunded in case of early repayment of the debt).</w:t>
      </w:r>
    </w:p>
    <w:p w:rsidR="00F01EBE" w:rsidRPr="007C1C78" w:rsidRDefault="00F01EBE" w:rsidP="00F01EBE">
      <w:pPr>
        <w:spacing w:after="0" w:line="240" w:lineRule="auto"/>
        <w:jc w:val="both"/>
        <w:rPr>
          <w:rFonts w:asciiTheme="majorHAnsi" w:hAnsiTheme="majorHAnsi"/>
          <w:lang w:val="en-US"/>
        </w:rPr>
      </w:pPr>
      <w:proofErr w:type="gramStart"/>
      <w:r w:rsidRPr="007C1C78">
        <w:rPr>
          <w:rFonts w:asciiTheme="majorHAnsi" w:hAnsiTheme="majorHAnsi"/>
          <w:lang w:val="en-US"/>
        </w:rPr>
        <w:t>The Bank's conduct in failing to abide by Art.</w:t>
      </w:r>
      <w:proofErr w:type="gramEnd"/>
      <w:r w:rsidRPr="007C1C78">
        <w:rPr>
          <w:rFonts w:asciiTheme="majorHAnsi" w:hAnsiTheme="majorHAnsi"/>
          <w:lang w:val="en-US"/>
        </w:rPr>
        <w:t xml:space="preserve"> 117, paragraphs 1 and 119, and paragraph 4, of the Consolidated Banking Law was actionable in that </w:t>
      </w:r>
      <w:proofErr w:type="spellStart"/>
      <w:r w:rsidRPr="007C1C78">
        <w:rPr>
          <w:rFonts w:asciiTheme="majorHAnsi" w:hAnsiTheme="majorHAnsi"/>
          <w:lang w:val="en-US"/>
        </w:rPr>
        <w:t>Mr</w:t>
      </w:r>
      <w:proofErr w:type="spellEnd"/>
      <w:r w:rsidRPr="007C1C78">
        <w:rPr>
          <w:rFonts w:asciiTheme="majorHAnsi" w:hAnsiTheme="majorHAnsi"/>
          <w:lang w:val="en-US"/>
        </w:rPr>
        <w:t xml:space="preserve"> C was never given a (comprehensible and/or legible) copy of the contract he signed. </w:t>
      </w:r>
    </w:p>
    <w:p w:rsidR="00BC736E" w:rsidRPr="007C1C78" w:rsidRDefault="00F01EBE" w:rsidP="00F01EBE">
      <w:pPr>
        <w:spacing w:after="0" w:line="240" w:lineRule="auto"/>
        <w:jc w:val="both"/>
        <w:rPr>
          <w:rFonts w:asciiTheme="majorHAnsi" w:hAnsiTheme="majorHAnsi"/>
          <w:lang w:val="en-US"/>
        </w:rPr>
      </w:pPr>
      <w:r w:rsidRPr="007C1C78">
        <w:rPr>
          <w:rFonts w:asciiTheme="majorHAnsi" w:hAnsiTheme="majorHAnsi"/>
          <w:lang w:val="en-US"/>
        </w:rPr>
        <w:t xml:space="preserve">Furthermore, that omission made it impossible for </w:t>
      </w:r>
      <w:proofErr w:type="spellStart"/>
      <w:r w:rsidRPr="007C1C78">
        <w:rPr>
          <w:rFonts w:asciiTheme="majorHAnsi" w:hAnsiTheme="majorHAnsi"/>
          <w:lang w:val="en-US"/>
        </w:rPr>
        <w:t>Mr</w:t>
      </w:r>
      <w:proofErr w:type="spellEnd"/>
      <w:r w:rsidRPr="007C1C78">
        <w:rPr>
          <w:rFonts w:asciiTheme="majorHAnsi" w:hAnsiTheme="majorHAnsi"/>
          <w:lang w:val="en-US"/>
        </w:rPr>
        <w:t xml:space="preserve"> C to evaluate what kind of fees he would be charged, and thus whether these prepaid fees were legitimate, whether they were up-front or recurring. A banking customer needs this information to decide whether to pay his loan off early, thereby reducing his expenses over the remaining life of the loan (interests and charges) as contemplated under Art. 125 </w:t>
      </w:r>
      <w:proofErr w:type="spellStart"/>
      <w:r w:rsidRPr="007C1C78">
        <w:rPr>
          <w:rFonts w:asciiTheme="majorHAnsi" w:hAnsiTheme="majorHAnsi"/>
          <w:lang w:val="en-US"/>
        </w:rPr>
        <w:t>sexies</w:t>
      </w:r>
      <w:proofErr w:type="spellEnd"/>
      <w:r w:rsidRPr="007C1C78">
        <w:rPr>
          <w:rFonts w:asciiTheme="majorHAnsi" w:hAnsiTheme="majorHAnsi"/>
          <w:lang w:val="en-US"/>
        </w:rPr>
        <w:t>, paragraph 1, subpart 1 of the Consolidated Banking Law.</w:t>
      </w:r>
    </w:p>
    <w:p w:rsidR="008718DC" w:rsidRPr="007C1C78" w:rsidRDefault="008718DC" w:rsidP="00A222E8">
      <w:pPr>
        <w:spacing w:after="0" w:line="240" w:lineRule="auto"/>
        <w:jc w:val="both"/>
        <w:rPr>
          <w:rFonts w:asciiTheme="majorHAnsi" w:hAnsiTheme="majorHAnsi"/>
          <w:lang w:val="en-US"/>
        </w:rPr>
      </w:pPr>
    </w:p>
    <w:p w:rsidR="003C0CE9" w:rsidRPr="007C1C78" w:rsidRDefault="003C0CE9" w:rsidP="00A222E8">
      <w:pPr>
        <w:numPr>
          <w:ilvl w:val="0"/>
          <w:numId w:val="1"/>
        </w:numPr>
        <w:spacing w:after="0" w:line="240" w:lineRule="auto"/>
        <w:jc w:val="both"/>
        <w:rPr>
          <w:rFonts w:asciiTheme="majorHAnsi" w:hAnsiTheme="majorHAnsi"/>
          <w:b/>
          <w:lang w:val="en-US"/>
        </w:rPr>
      </w:pPr>
      <w:r w:rsidRPr="007C1C78">
        <w:rPr>
          <w:rFonts w:asciiTheme="majorHAnsi" w:hAnsiTheme="majorHAnsi"/>
          <w:b/>
          <w:lang w:val="en-US"/>
        </w:rPr>
        <w:t>Legal provisions with specific reference to EU directive when applying:</w:t>
      </w:r>
    </w:p>
    <w:p w:rsidR="003C0CE9" w:rsidRPr="007C1C78" w:rsidRDefault="009F3B2E" w:rsidP="00A222E8">
      <w:pPr>
        <w:spacing w:after="0" w:line="240" w:lineRule="auto"/>
        <w:jc w:val="both"/>
        <w:rPr>
          <w:rFonts w:asciiTheme="majorHAnsi" w:hAnsiTheme="majorHAnsi"/>
          <w:i/>
          <w:lang w:val="en-US"/>
        </w:rPr>
      </w:pPr>
      <w:proofErr w:type="gramStart"/>
      <w:r w:rsidRPr="007C1C78">
        <w:rPr>
          <w:rFonts w:asciiTheme="majorHAnsi" w:hAnsiTheme="majorHAnsi"/>
          <w:lang w:val="en-US"/>
        </w:rPr>
        <w:t xml:space="preserve">Article 16(1) of Directive 2008/48/EC of the European Parliament and of the Council of 23 April 2008 on credit agreements for consumers; </w:t>
      </w:r>
      <w:proofErr w:type="spellStart"/>
      <w:r w:rsidRPr="007C1C78">
        <w:rPr>
          <w:rFonts w:asciiTheme="majorHAnsi" w:hAnsiTheme="majorHAnsi"/>
          <w:lang w:val="en-US"/>
        </w:rPr>
        <w:t>Art</w:t>
      </w:r>
      <w:r w:rsidR="006D2A4C" w:rsidRPr="007C1C78">
        <w:rPr>
          <w:rFonts w:asciiTheme="majorHAnsi" w:hAnsiTheme="majorHAnsi"/>
          <w:lang w:val="en-US"/>
        </w:rPr>
        <w:t>t</w:t>
      </w:r>
      <w:proofErr w:type="spellEnd"/>
      <w:r w:rsidRPr="007C1C78">
        <w:rPr>
          <w:rFonts w:asciiTheme="majorHAnsi" w:hAnsiTheme="majorHAnsi"/>
          <w:lang w:val="en-US"/>
        </w:rPr>
        <w:t>.</w:t>
      </w:r>
      <w:proofErr w:type="gramEnd"/>
      <w:r w:rsidRPr="007C1C78">
        <w:rPr>
          <w:rFonts w:asciiTheme="majorHAnsi" w:hAnsiTheme="majorHAnsi"/>
          <w:lang w:val="en-US"/>
        </w:rPr>
        <w:t xml:space="preserve"> </w:t>
      </w:r>
      <w:r w:rsidR="006D2A4C" w:rsidRPr="007C1C78">
        <w:rPr>
          <w:rFonts w:asciiTheme="majorHAnsi" w:hAnsiTheme="majorHAnsi"/>
          <w:lang w:val="en-US"/>
        </w:rPr>
        <w:t xml:space="preserve">117, </w:t>
      </w:r>
      <w:r w:rsidR="006A7DC9" w:rsidRPr="007C1C78">
        <w:rPr>
          <w:rFonts w:asciiTheme="majorHAnsi" w:hAnsiTheme="majorHAnsi"/>
          <w:lang w:val="en-US"/>
        </w:rPr>
        <w:t>par</w:t>
      </w:r>
      <w:r w:rsidR="006D2A4C" w:rsidRPr="007C1C78">
        <w:rPr>
          <w:rFonts w:asciiTheme="majorHAnsi" w:hAnsiTheme="majorHAnsi"/>
          <w:lang w:val="en-US"/>
        </w:rPr>
        <w:t xml:space="preserve"> 1</w:t>
      </w:r>
      <w:r w:rsidR="002A4397" w:rsidRPr="007C1C78">
        <w:rPr>
          <w:rFonts w:asciiTheme="majorHAnsi" w:hAnsiTheme="majorHAnsi"/>
          <w:lang w:val="en-US"/>
        </w:rPr>
        <w:t xml:space="preserve"> and 3</w:t>
      </w:r>
      <w:r w:rsidR="006D2A4C" w:rsidRPr="007C1C78">
        <w:rPr>
          <w:rFonts w:asciiTheme="majorHAnsi" w:hAnsiTheme="majorHAnsi"/>
          <w:lang w:val="en-US"/>
        </w:rPr>
        <w:t xml:space="preserve">; 119, </w:t>
      </w:r>
      <w:r w:rsidR="006A7DC9" w:rsidRPr="007C1C78">
        <w:rPr>
          <w:rFonts w:asciiTheme="majorHAnsi" w:hAnsiTheme="majorHAnsi"/>
          <w:lang w:val="en-US"/>
        </w:rPr>
        <w:t xml:space="preserve">par </w:t>
      </w:r>
      <w:r w:rsidR="006D2A4C" w:rsidRPr="007C1C78">
        <w:rPr>
          <w:rFonts w:asciiTheme="majorHAnsi" w:hAnsiTheme="majorHAnsi"/>
          <w:lang w:val="en-US"/>
        </w:rPr>
        <w:t xml:space="preserve">4; </w:t>
      </w:r>
      <w:r w:rsidRPr="007C1C78">
        <w:rPr>
          <w:rFonts w:asciiTheme="majorHAnsi" w:hAnsiTheme="majorHAnsi"/>
          <w:bCs/>
          <w:lang w:val="en-US"/>
        </w:rPr>
        <w:t>125-</w:t>
      </w:r>
      <w:r w:rsidRPr="007C1C78">
        <w:rPr>
          <w:rFonts w:asciiTheme="majorHAnsi" w:hAnsiTheme="majorHAnsi"/>
          <w:bCs/>
          <w:i/>
          <w:lang w:val="en-US"/>
        </w:rPr>
        <w:t>sexies</w:t>
      </w:r>
      <w:r w:rsidRPr="007C1C78">
        <w:rPr>
          <w:rFonts w:asciiTheme="majorHAnsi" w:hAnsiTheme="majorHAnsi"/>
          <w:lang w:val="en-US"/>
        </w:rPr>
        <w:t xml:space="preserve"> </w:t>
      </w:r>
      <w:r w:rsidR="00BD0E3D" w:rsidRPr="007C1C78">
        <w:rPr>
          <w:rFonts w:asciiTheme="majorHAnsi" w:hAnsiTheme="majorHAnsi"/>
          <w:lang w:val="en-US"/>
        </w:rPr>
        <w:t xml:space="preserve">TUB </w:t>
      </w:r>
      <w:r w:rsidR="00BD0E3D" w:rsidRPr="007C1C78">
        <w:rPr>
          <w:rFonts w:asciiTheme="majorHAnsi" w:hAnsiTheme="majorHAnsi"/>
          <w:lang w:val="en-GB"/>
        </w:rPr>
        <w:t>[</w:t>
      </w:r>
      <w:proofErr w:type="spellStart"/>
      <w:r w:rsidR="00BD0E3D" w:rsidRPr="007C1C78">
        <w:rPr>
          <w:rFonts w:asciiTheme="majorHAnsi" w:hAnsiTheme="majorHAnsi"/>
          <w:lang w:val="en-GB"/>
        </w:rPr>
        <w:t>Testo</w:t>
      </w:r>
      <w:proofErr w:type="spellEnd"/>
      <w:r w:rsidR="00BD0E3D" w:rsidRPr="007C1C78">
        <w:rPr>
          <w:rFonts w:asciiTheme="majorHAnsi" w:hAnsiTheme="majorHAnsi"/>
          <w:lang w:val="en-GB"/>
        </w:rPr>
        <w:t xml:space="preserve"> </w:t>
      </w:r>
      <w:proofErr w:type="spellStart"/>
      <w:r w:rsidR="00BD0E3D" w:rsidRPr="007C1C78">
        <w:rPr>
          <w:rFonts w:asciiTheme="majorHAnsi" w:hAnsiTheme="majorHAnsi"/>
          <w:lang w:val="en-GB"/>
        </w:rPr>
        <w:t>Unico</w:t>
      </w:r>
      <w:proofErr w:type="spellEnd"/>
      <w:r w:rsidR="00BD0E3D" w:rsidRPr="007C1C78">
        <w:rPr>
          <w:rFonts w:asciiTheme="majorHAnsi" w:hAnsiTheme="majorHAnsi"/>
          <w:lang w:val="en-GB"/>
        </w:rPr>
        <w:t xml:space="preserve"> </w:t>
      </w:r>
      <w:proofErr w:type="spellStart"/>
      <w:r w:rsidR="00BD0E3D" w:rsidRPr="007C1C78">
        <w:rPr>
          <w:rFonts w:asciiTheme="majorHAnsi" w:hAnsiTheme="majorHAnsi"/>
          <w:lang w:val="en-GB"/>
        </w:rPr>
        <w:t>Bancario</w:t>
      </w:r>
      <w:proofErr w:type="spellEnd"/>
      <w:r w:rsidR="00BD0E3D" w:rsidRPr="007C1C78">
        <w:rPr>
          <w:rFonts w:asciiTheme="majorHAnsi" w:hAnsiTheme="majorHAnsi"/>
          <w:lang w:val="en-GB"/>
        </w:rPr>
        <w:t xml:space="preserve">, Consolidated Banking Law, </w:t>
      </w:r>
      <w:proofErr w:type="spellStart"/>
      <w:r w:rsidR="00BD0E3D" w:rsidRPr="007C1C78">
        <w:rPr>
          <w:rFonts w:asciiTheme="majorHAnsi" w:hAnsiTheme="majorHAnsi"/>
          <w:lang w:val="en-US"/>
        </w:rPr>
        <w:t>D.lgs</w:t>
      </w:r>
      <w:proofErr w:type="spellEnd"/>
      <w:r w:rsidR="00BD0E3D" w:rsidRPr="007C1C78">
        <w:rPr>
          <w:rFonts w:asciiTheme="majorHAnsi" w:hAnsiTheme="majorHAnsi"/>
          <w:lang w:val="en-US"/>
        </w:rPr>
        <w:t>. 1 September 1993, n. 385</w:t>
      </w:r>
      <w:r w:rsidR="00BD0E3D" w:rsidRPr="007C1C78">
        <w:rPr>
          <w:rFonts w:asciiTheme="majorHAnsi" w:hAnsiTheme="majorHAnsi"/>
          <w:lang w:val="en-GB"/>
        </w:rPr>
        <w:t xml:space="preserve">]; </w:t>
      </w:r>
      <w:r w:rsidR="000C55E6" w:rsidRPr="007C1C78">
        <w:rPr>
          <w:rFonts w:asciiTheme="majorHAnsi" w:hAnsiTheme="majorHAnsi"/>
          <w:lang w:val="en-US"/>
        </w:rPr>
        <w:t xml:space="preserve">art. </w:t>
      </w:r>
      <w:proofErr w:type="gramStart"/>
      <w:r w:rsidR="000C55E6" w:rsidRPr="007C1C78">
        <w:rPr>
          <w:rFonts w:asciiTheme="majorHAnsi" w:hAnsiTheme="majorHAnsi"/>
          <w:lang w:val="en-US"/>
        </w:rPr>
        <w:t>1337 Italian Civil Cod</w:t>
      </w:r>
      <w:r w:rsidR="006D2A4C" w:rsidRPr="007C1C78">
        <w:rPr>
          <w:rFonts w:asciiTheme="majorHAnsi" w:hAnsiTheme="majorHAnsi"/>
          <w:lang w:val="en-US"/>
        </w:rPr>
        <w:t>e.</w:t>
      </w:r>
      <w:proofErr w:type="gramEnd"/>
    </w:p>
    <w:p w:rsidR="008718DC" w:rsidRPr="007C1C78" w:rsidRDefault="008718DC" w:rsidP="00A222E8">
      <w:pPr>
        <w:spacing w:after="0" w:line="240" w:lineRule="auto"/>
        <w:jc w:val="both"/>
        <w:rPr>
          <w:rFonts w:asciiTheme="majorHAnsi" w:hAnsiTheme="majorHAnsi"/>
          <w:b/>
          <w:lang w:val="en-US"/>
        </w:rPr>
      </w:pPr>
    </w:p>
    <w:p w:rsidR="008718DC" w:rsidRPr="007C1C78" w:rsidRDefault="008718DC" w:rsidP="00A222E8">
      <w:pPr>
        <w:spacing w:after="0" w:line="240" w:lineRule="auto"/>
        <w:jc w:val="both"/>
        <w:rPr>
          <w:rFonts w:asciiTheme="majorHAnsi" w:hAnsiTheme="majorHAnsi"/>
          <w:b/>
          <w:lang w:val="en-US"/>
        </w:rPr>
      </w:pPr>
    </w:p>
    <w:p w:rsidR="003C0CE9" w:rsidRPr="007C1C78" w:rsidRDefault="003C0CE9" w:rsidP="00A222E8">
      <w:pPr>
        <w:spacing w:after="0" w:line="240" w:lineRule="auto"/>
        <w:jc w:val="both"/>
        <w:rPr>
          <w:rFonts w:asciiTheme="majorHAnsi" w:hAnsiTheme="majorHAnsi"/>
          <w:lang w:val="en-US"/>
        </w:rPr>
      </w:pPr>
      <w:r w:rsidRPr="007C1C78">
        <w:rPr>
          <w:rFonts w:asciiTheme="majorHAnsi" w:hAnsiTheme="majorHAnsi"/>
          <w:b/>
          <w:lang w:val="en-US"/>
        </w:rPr>
        <w:t>LEGAL SOLUTION:</w:t>
      </w:r>
      <w:r w:rsidRPr="007C1C78">
        <w:rPr>
          <w:rFonts w:asciiTheme="majorHAnsi" w:hAnsiTheme="majorHAnsi"/>
          <w:lang w:val="en-US"/>
        </w:rPr>
        <w:t xml:space="preserve"> </w:t>
      </w:r>
    </w:p>
    <w:p w:rsidR="008718DC" w:rsidRPr="007C1C78" w:rsidRDefault="002A4397" w:rsidP="00F01EBE">
      <w:pPr>
        <w:spacing w:after="0" w:line="240" w:lineRule="auto"/>
        <w:jc w:val="both"/>
        <w:rPr>
          <w:rFonts w:asciiTheme="majorHAnsi" w:hAnsiTheme="majorHAnsi"/>
          <w:lang w:val="en-US"/>
        </w:rPr>
      </w:pPr>
      <w:r w:rsidRPr="007C1C78">
        <w:rPr>
          <w:rFonts w:asciiTheme="majorHAnsi" w:hAnsiTheme="majorHAnsi"/>
          <w:lang w:val="en-US"/>
        </w:rPr>
        <w:t>U</w:t>
      </w:r>
      <w:r w:rsidR="00056A90" w:rsidRPr="007C1C78">
        <w:rPr>
          <w:rFonts w:asciiTheme="majorHAnsi" w:hAnsiTheme="majorHAnsi"/>
          <w:lang w:val="en-US"/>
        </w:rPr>
        <w:t>nder the Itali</w:t>
      </w:r>
      <w:r w:rsidRPr="007C1C78">
        <w:rPr>
          <w:rFonts w:asciiTheme="majorHAnsi" w:hAnsiTheme="majorHAnsi"/>
          <w:lang w:val="en-US"/>
        </w:rPr>
        <w:t>a</w:t>
      </w:r>
      <w:r w:rsidR="00056A90" w:rsidRPr="007C1C78">
        <w:rPr>
          <w:rFonts w:asciiTheme="majorHAnsi" w:hAnsiTheme="majorHAnsi"/>
          <w:lang w:val="en-US"/>
        </w:rPr>
        <w:t xml:space="preserve">n Law, </w:t>
      </w:r>
      <w:r w:rsidR="00F01EBE" w:rsidRPr="007C1C78">
        <w:rPr>
          <w:rFonts w:asciiTheme="majorHAnsi" w:hAnsiTheme="majorHAnsi"/>
          <w:lang w:val="en-US"/>
        </w:rPr>
        <w:t xml:space="preserve">banking contracts must be generated in writing, and a copy must always be given to the customer. Otherwise, the contract is void </w:t>
      </w:r>
      <w:r w:rsidRPr="007C1C78">
        <w:rPr>
          <w:rFonts w:asciiTheme="majorHAnsi" w:hAnsiTheme="majorHAnsi"/>
          <w:lang w:val="en-US"/>
        </w:rPr>
        <w:t xml:space="preserve">(art. 117, </w:t>
      </w:r>
      <w:proofErr w:type="spellStart"/>
      <w:r w:rsidR="006A7DC9" w:rsidRPr="007C1C78">
        <w:rPr>
          <w:rFonts w:asciiTheme="majorHAnsi" w:hAnsiTheme="majorHAnsi"/>
          <w:lang w:val="en-US"/>
        </w:rPr>
        <w:t>parr</w:t>
      </w:r>
      <w:proofErr w:type="spellEnd"/>
      <w:r w:rsidRPr="007C1C78">
        <w:rPr>
          <w:rFonts w:asciiTheme="majorHAnsi" w:hAnsiTheme="majorHAnsi"/>
          <w:lang w:val="en-US"/>
        </w:rPr>
        <w:t xml:space="preserve"> 1 and 3, </w:t>
      </w:r>
      <w:r w:rsidR="00BD0E3D" w:rsidRPr="007C1C78">
        <w:rPr>
          <w:rFonts w:asciiTheme="majorHAnsi" w:hAnsiTheme="majorHAnsi"/>
          <w:lang w:val="en-US"/>
        </w:rPr>
        <w:t>TUB [</w:t>
      </w:r>
      <w:proofErr w:type="spellStart"/>
      <w:r w:rsidR="00BD0E3D" w:rsidRPr="007C1C78">
        <w:rPr>
          <w:rFonts w:asciiTheme="majorHAnsi" w:hAnsiTheme="majorHAnsi"/>
          <w:lang w:val="en-US"/>
        </w:rPr>
        <w:t>Testo</w:t>
      </w:r>
      <w:proofErr w:type="spellEnd"/>
      <w:r w:rsidR="00BD0E3D" w:rsidRPr="007C1C78">
        <w:rPr>
          <w:rFonts w:asciiTheme="majorHAnsi" w:hAnsiTheme="majorHAnsi"/>
          <w:lang w:val="en-US"/>
        </w:rPr>
        <w:t xml:space="preserve"> </w:t>
      </w:r>
      <w:proofErr w:type="spellStart"/>
      <w:r w:rsidR="00BD0E3D" w:rsidRPr="007C1C78">
        <w:rPr>
          <w:rFonts w:asciiTheme="majorHAnsi" w:hAnsiTheme="majorHAnsi"/>
          <w:lang w:val="en-US"/>
        </w:rPr>
        <w:t>Unico</w:t>
      </w:r>
      <w:proofErr w:type="spellEnd"/>
      <w:r w:rsidR="00BD0E3D" w:rsidRPr="007C1C78">
        <w:rPr>
          <w:rFonts w:asciiTheme="majorHAnsi" w:hAnsiTheme="majorHAnsi"/>
          <w:lang w:val="en-US"/>
        </w:rPr>
        <w:t xml:space="preserve"> </w:t>
      </w:r>
      <w:proofErr w:type="spellStart"/>
      <w:r w:rsidR="00BD0E3D" w:rsidRPr="007C1C78">
        <w:rPr>
          <w:rFonts w:asciiTheme="majorHAnsi" w:hAnsiTheme="majorHAnsi"/>
          <w:lang w:val="en-US"/>
        </w:rPr>
        <w:t>Bancario</w:t>
      </w:r>
      <w:proofErr w:type="spellEnd"/>
      <w:r w:rsidR="00BD0E3D" w:rsidRPr="007C1C78">
        <w:rPr>
          <w:rFonts w:asciiTheme="majorHAnsi" w:hAnsiTheme="majorHAnsi"/>
          <w:lang w:val="en-US"/>
        </w:rPr>
        <w:t xml:space="preserve">, Consolidated Banking Law, </w:t>
      </w:r>
      <w:proofErr w:type="spellStart"/>
      <w:r w:rsidR="00BD0E3D" w:rsidRPr="007C1C78">
        <w:rPr>
          <w:rFonts w:asciiTheme="majorHAnsi" w:hAnsiTheme="majorHAnsi"/>
          <w:lang w:val="en-US"/>
        </w:rPr>
        <w:t>D.lgs</w:t>
      </w:r>
      <w:proofErr w:type="spellEnd"/>
      <w:r w:rsidR="00BD0E3D" w:rsidRPr="007C1C78">
        <w:rPr>
          <w:rFonts w:asciiTheme="majorHAnsi" w:hAnsiTheme="majorHAnsi"/>
          <w:lang w:val="en-US"/>
        </w:rPr>
        <w:t xml:space="preserve">. 1 September 1993, </w:t>
      </w:r>
      <w:proofErr w:type="gramStart"/>
      <w:r w:rsidR="00BD0E3D" w:rsidRPr="007C1C78">
        <w:rPr>
          <w:rFonts w:asciiTheme="majorHAnsi" w:hAnsiTheme="majorHAnsi"/>
          <w:lang w:val="en-US"/>
        </w:rPr>
        <w:t>n</w:t>
      </w:r>
      <w:proofErr w:type="gramEnd"/>
      <w:r w:rsidR="00BD0E3D" w:rsidRPr="007C1C78">
        <w:rPr>
          <w:rFonts w:asciiTheme="majorHAnsi" w:hAnsiTheme="majorHAnsi"/>
          <w:lang w:val="en-US"/>
        </w:rPr>
        <w:t>. 385].</w:t>
      </w:r>
    </w:p>
    <w:p w:rsidR="00BD0E3D" w:rsidRPr="007C1C78" w:rsidRDefault="00BD0E3D" w:rsidP="00A222E8">
      <w:pPr>
        <w:spacing w:after="0" w:line="240" w:lineRule="auto"/>
        <w:jc w:val="both"/>
        <w:rPr>
          <w:rFonts w:asciiTheme="majorHAnsi" w:hAnsiTheme="majorHAnsi"/>
          <w:b/>
          <w:lang w:val="en-US"/>
        </w:rPr>
      </w:pPr>
    </w:p>
    <w:p w:rsidR="003C0CE9" w:rsidRPr="007C1C78" w:rsidRDefault="003C0CE9" w:rsidP="00A222E8">
      <w:pPr>
        <w:spacing w:after="0" w:line="240" w:lineRule="auto"/>
        <w:jc w:val="both"/>
        <w:rPr>
          <w:rFonts w:asciiTheme="majorHAnsi" w:hAnsiTheme="majorHAnsi"/>
          <w:b/>
          <w:lang w:val="en-US"/>
        </w:rPr>
      </w:pPr>
      <w:r w:rsidRPr="007C1C78">
        <w:rPr>
          <w:rFonts w:asciiTheme="majorHAnsi" w:hAnsiTheme="majorHAnsi"/>
          <w:b/>
          <w:lang w:val="en-US"/>
        </w:rPr>
        <w:t xml:space="preserve">SUGGESTED SOLUTION: </w:t>
      </w:r>
    </w:p>
    <w:p w:rsidR="00655A26" w:rsidRPr="007C1C78" w:rsidRDefault="00F01EBE" w:rsidP="00A222E8">
      <w:pPr>
        <w:spacing w:after="0" w:line="240" w:lineRule="auto"/>
        <w:jc w:val="both"/>
        <w:rPr>
          <w:rFonts w:asciiTheme="majorHAnsi" w:hAnsiTheme="majorHAnsi"/>
          <w:lang w:val="en-US"/>
        </w:rPr>
      </w:pPr>
      <w:r w:rsidRPr="007C1C78">
        <w:rPr>
          <w:rFonts w:asciiTheme="majorHAnsi" w:hAnsiTheme="majorHAnsi"/>
          <w:lang w:val="en-US"/>
        </w:rPr>
        <w:t>The client was not interested in voiding the contract because the loan had not yet been disbursed, and thus he would have had to forego the money. All the same, he wished to have a copy of the contract, for reasons including having access to the exact terms and conditions of the same should he have opted pay off the loan early, as he was in fact wishing to do.</w:t>
      </w:r>
    </w:p>
    <w:p w:rsidR="008718DC" w:rsidRPr="007C1C78" w:rsidRDefault="00897597" w:rsidP="00A222E8">
      <w:pPr>
        <w:spacing w:after="0" w:line="240" w:lineRule="auto"/>
        <w:jc w:val="both"/>
        <w:rPr>
          <w:rFonts w:asciiTheme="majorHAnsi" w:hAnsiTheme="majorHAnsi"/>
          <w:lang w:val="en-US"/>
        </w:rPr>
      </w:pPr>
      <w:r w:rsidRPr="007C1C78">
        <w:rPr>
          <w:rFonts w:asciiTheme="majorHAnsi" w:hAnsiTheme="majorHAnsi"/>
          <w:lang w:val="en-US"/>
        </w:rPr>
        <w:t xml:space="preserve">We decided to submit a written claim to the financial intermediary on the issue (attached). Since it did not respond within 30 days from the date of the submission (and its late response turned out to be unsatisfactory, anyway), we filed a complaint with the ABF (attached). </w:t>
      </w:r>
    </w:p>
    <w:p w:rsidR="00702806" w:rsidRPr="007C1C78" w:rsidRDefault="00F01EBE" w:rsidP="00A222E8">
      <w:pPr>
        <w:spacing w:after="0" w:line="240" w:lineRule="auto"/>
        <w:jc w:val="both"/>
        <w:rPr>
          <w:rFonts w:asciiTheme="majorHAnsi" w:hAnsiTheme="majorHAnsi"/>
          <w:lang w:val="en-US"/>
        </w:rPr>
      </w:pPr>
      <w:r w:rsidRPr="007C1C78">
        <w:rPr>
          <w:rFonts w:asciiTheme="majorHAnsi" w:hAnsiTheme="majorHAnsi"/>
          <w:lang w:val="en-US"/>
        </w:rPr>
        <w:t>The ABF [Banking and Finance Arbiter] agreed to review our application, and ordered the broker provide a legible copy of the contract to the client (please see attached). In terms of the request to determine the “recurring” nature of the fees, the ABF found that since the loan was still in repayment, any claim to a reduction of the total cost of the loan was unripe.</w:t>
      </w:r>
    </w:p>
    <w:p w:rsidR="0092039A" w:rsidRPr="007C1C78" w:rsidRDefault="0092039A" w:rsidP="00A222E8">
      <w:pPr>
        <w:spacing w:after="0" w:line="240" w:lineRule="auto"/>
        <w:jc w:val="both"/>
        <w:rPr>
          <w:rFonts w:asciiTheme="majorHAnsi" w:hAnsiTheme="majorHAnsi"/>
          <w:lang w:val="en-US"/>
        </w:rPr>
      </w:pPr>
    </w:p>
    <w:p w:rsidR="003C0CE9" w:rsidRPr="007C1C78" w:rsidRDefault="006F627A" w:rsidP="00A222E8">
      <w:pPr>
        <w:spacing w:after="0" w:line="240" w:lineRule="auto"/>
        <w:jc w:val="both"/>
        <w:rPr>
          <w:rFonts w:asciiTheme="majorHAnsi" w:hAnsiTheme="majorHAnsi"/>
          <w:i/>
          <w:lang w:val="en-US"/>
        </w:rPr>
      </w:pPr>
      <w:r w:rsidRPr="007C1C78">
        <w:rPr>
          <w:rFonts w:asciiTheme="majorHAnsi" w:hAnsiTheme="majorHAnsi"/>
          <w:lang w:val="en-US"/>
        </w:rPr>
        <w:t xml:space="preserve"> </w:t>
      </w: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p w:rsidR="003C0CE9" w:rsidRPr="007C1C78" w:rsidRDefault="003C0CE9" w:rsidP="00A222E8">
      <w:pPr>
        <w:spacing w:after="0" w:line="240" w:lineRule="auto"/>
        <w:jc w:val="both"/>
        <w:rPr>
          <w:rFonts w:asciiTheme="majorHAnsi" w:hAnsiTheme="majorHAnsi"/>
          <w:lang w:val="en-US"/>
        </w:rPr>
      </w:pPr>
    </w:p>
    <w:bookmarkEnd w:id="0"/>
    <w:p w:rsidR="00582C1A" w:rsidRPr="007C1C78" w:rsidRDefault="00582C1A" w:rsidP="00A222E8">
      <w:pPr>
        <w:spacing w:after="0" w:line="240" w:lineRule="auto"/>
        <w:jc w:val="both"/>
        <w:rPr>
          <w:rFonts w:asciiTheme="majorHAnsi" w:hAnsiTheme="majorHAnsi"/>
          <w:lang w:val="en-US"/>
        </w:rPr>
      </w:pPr>
    </w:p>
    <w:sectPr w:rsidR="00582C1A" w:rsidRPr="007C1C78" w:rsidSect="006A5E8E">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E91" w:rsidRDefault="003D7E91">
      <w:pPr>
        <w:spacing w:after="0" w:line="240" w:lineRule="auto"/>
      </w:pPr>
      <w:r>
        <w:separator/>
      </w:r>
    </w:p>
  </w:endnote>
  <w:endnote w:type="continuationSeparator" w:id="0">
    <w:p w:rsidR="003D7E91" w:rsidRDefault="003D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6B47C4" w:rsidRDefault="003D7E91" w:rsidP="006B47C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7C4" w:rsidRDefault="003C0CE9" w:rsidP="00707A4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C1C78">
      <w:rPr>
        <w:rStyle w:val="Numeropagina"/>
        <w:noProof/>
      </w:rPr>
      <w:t>2</w:t>
    </w:r>
    <w:r>
      <w:rPr>
        <w:rStyle w:val="Numeropagina"/>
      </w:rPr>
      <w:fldChar w:fldCharType="end"/>
    </w:r>
  </w:p>
  <w:p w:rsidR="006B47C4" w:rsidRDefault="003D7E91" w:rsidP="006B47C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E91" w:rsidRDefault="003D7E91">
      <w:pPr>
        <w:spacing w:after="0" w:line="240" w:lineRule="auto"/>
      </w:pPr>
      <w:r>
        <w:separator/>
      </w:r>
    </w:p>
  </w:footnote>
  <w:footnote w:type="continuationSeparator" w:id="0">
    <w:p w:rsidR="003D7E91" w:rsidRDefault="003D7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36C63"/>
    <w:multiLevelType w:val="hybridMultilevel"/>
    <w:tmpl w:val="E0ACB956"/>
    <w:lvl w:ilvl="0" w:tplc="92C4E474">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CE9"/>
    <w:rsid w:val="00011CA7"/>
    <w:rsid w:val="00030418"/>
    <w:rsid w:val="00056A90"/>
    <w:rsid w:val="0006263E"/>
    <w:rsid w:val="0007125A"/>
    <w:rsid w:val="000721F4"/>
    <w:rsid w:val="000A5FB6"/>
    <w:rsid w:val="000B7405"/>
    <w:rsid w:val="000C55E6"/>
    <w:rsid w:val="000C6FD3"/>
    <w:rsid w:val="000F485E"/>
    <w:rsid w:val="000F556A"/>
    <w:rsid w:val="0010027A"/>
    <w:rsid w:val="0011661F"/>
    <w:rsid w:val="0012227D"/>
    <w:rsid w:val="0013585A"/>
    <w:rsid w:val="00136695"/>
    <w:rsid w:val="00157B77"/>
    <w:rsid w:val="001635A7"/>
    <w:rsid w:val="00165EC6"/>
    <w:rsid w:val="00173EEE"/>
    <w:rsid w:val="001874CA"/>
    <w:rsid w:val="001931F4"/>
    <w:rsid w:val="001971AB"/>
    <w:rsid w:val="001B16E9"/>
    <w:rsid w:val="001B61F9"/>
    <w:rsid w:val="001B6457"/>
    <w:rsid w:val="001C1959"/>
    <w:rsid w:val="001C3B6C"/>
    <w:rsid w:val="0021079A"/>
    <w:rsid w:val="00211D18"/>
    <w:rsid w:val="00212AB8"/>
    <w:rsid w:val="002220F8"/>
    <w:rsid w:val="0023401A"/>
    <w:rsid w:val="00245C4E"/>
    <w:rsid w:val="00246CC1"/>
    <w:rsid w:val="00257FF0"/>
    <w:rsid w:val="002771A4"/>
    <w:rsid w:val="00282233"/>
    <w:rsid w:val="0029242D"/>
    <w:rsid w:val="002A4397"/>
    <w:rsid w:val="002A63DC"/>
    <w:rsid w:val="002A6F47"/>
    <w:rsid w:val="002B33CC"/>
    <w:rsid w:val="002B616A"/>
    <w:rsid w:val="002C1EF3"/>
    <w:rsid w:val="002C7757"/>
    <w:rsid w:val="00310B99"/>
    <w:rsid w:val="00315E52"/>
    <w:rsid w:val="003168AA"/>
    <w:rsid w:val="0032250F"/>
    <w:rsid w:val="00332BCA"/>
    <w:rsid w:val="00347C6B"/>
    <w:rsid w:val="00354BFD"/>
    <w:rsid w:val="00355A19"/>
    <w:rsid w:val="00362762"/>
    <w:rsid w:val="00374A51"/>
    <w:rsid w:val="00383CFF"/>
    <w:rsid w:val="003A0177"/>
    <w:rsid w:val="003B1146"/>
    <w:rsid w:val="003C0CE9"/>
    <w:rsid w:val="003C1558"/>
    <w:rsid w:val="003D0561"/>
    <w:rsid w:val="003D7E91"/>
    <w:rsid w:val="003E0AB1"/>
    <w:rsid w:val="003E1C3E"/>
    <w:rsid w:val="003F5546"/>
    <w:rsid w:val="00406F2B"/>
    <w:rsid w:val="00410163"/>
    <w:rsid w:val="004222F1"/>
    <w:rsid w:val="00432D35"/>
    <w:rsid w:val="00463A60"/>
    <w:rsid w:val="00471EBA"/>
    <w:rsid w:val="00473F69"/>
    <w:rsid w:val="00486FC1"/>
    <w:rsid w:val="004A2AE5"/>
    <w:rsid w:val="004C77D7"/>
    <w:rsid w:val="004E549F"/>
    <w:rsid w:val="004F5E6B"/>
    <w:rsid w:val="00506BE7"/>
    <w:rsid w:val="005310DC"/>
    <w:rsid w:val="00534851"/>
    <w:rsid w:val="00541BF1"/>
    <w:rsid w:val="00567207"/>
    <w:rsid w:val="0057218D"/>
    <w:rsid w:val="0057250F"/>
    <w:rsid w:val="0058133C"/>
    <w:rsid w:val="00581F25"/>
    <w:rsid w:val="00582C1A"/>
    <w:rsid w:val="005B608B"/>
    <w:rsid w:val="005D5A15"/>
    <w:rsid w:val="005D7475"/>
    <w:rsid w:val="005E4E1E"/>
    <w:rsid w:val="005F4EF1"/>
    <w:rsid w:val="006053D6"/>
    <w:rsid w:val="006150F3"/>
    <w:rsid w:val="00623289"/>
    <w:rsid w:val="00626A32"/>
    <w:rsid w:val="006366D8"/>
    <w:rsid w:val="00650A9C"/>
    <w:rsid w:val="00653DE3"/>
    <w:rsid w:val="00655A26"/>
    <w:rsid w:val="00655B1F"/>
    <w:rsid w:val="00664470"/>
    <w:rsid w:val="00681230"/>
    <w:rsid w:val="006A00C4"/>
    <w:rsid w:val="006A7DC9"/>
    <w:rsid w:val="006B2766"/>
    <w:rsid w:val="006C1033"/>
    <w:rsid w:val="006C2066"/>
    <w:rsid w:val="006C535E"/>
    <w:rsid w:val="006D2A4C"/>
    <w:rsid w:val="006D5F97"/>
    <w:rsid w:val="006F627A"/>
    <w:rsid w:val="00702806"/>
    <w:rsid w:val="00706275"/>
    <w:rsid w:val="0071543D"/>
    <w:rsid w:val="00721D38"/>
    <w:rsid w:val="0073291C"/>
    <w:rsid w:val="00744624"/>
    <w:rsid w:val="00753D77"/>
    <w:rsid w:val="00762001"/>
    <w:rsid w:val="00787722"/>
    <w:rsid w:val="00795028"/>
    <w:rsid w:val="00796573"/>
    <w:rsid w:val="007A3477"/>
    <w:rsid w:val="007A5CD9"/>
    <w:rsid w:val="007B3A85"/>
    <w:rsid w:val="007C1C78"/>
    <w:rsid w:val="007C678C"/>
    <w:rsid w:val="007C69A5"/>
    <w:rsid w:val="007E65D7"/>
    <w:rsid w:val="007F7395"/>
    <w:rsid w:val="00800D3C"/>
    <w:rsid w:val="00811992"/>
    <w:rsid w:val="0081483B"/>
    <w:rsid w:val="008257F5"/>
    <w:rsid w:val="008718DC"/>
    <w:rsid w:val="008732EB"/>
    <w:rsid w:val="00875711"/>
    <w:rsid w:val="008862FD"/>
    <w:rsid w:val="00886BAE"/>
    <w:rsid w:val="00890BB1"/>
    <w:rsid w:val="00892867"/>
    <w:rsid w:val="00897597"/>
    <w:rsid w:val="008B2C95"/>
    <w:rsid w:val="008C2CC1"/>
    <w:rsid w:val="008C529E"/>
    <w:rsid w:val="008D499B"/>
    <w:rsid w:val="008E2CD9"/>
    <w:rsid w:val="008E3248"/>
    <w:rsid w:val="008E6CC0"/>
    <w:rsid w:val="008F6629"/>
    <w:rsid w:val="00901715"/>
    <w:rsid w:val="009019F3"/>
    <w:rsid w:val="009079FA"/>
    <w:rsid w:val="00914F48"/>
    <w:rsid w:val="00917ACA"/>
    <w:rsid w:val="0092039A"/>
    <w:rsid w:val="009269E0"/>
    <w:rsid w:val="00952DFD"/>
    <w:rsid w:val="00962BFA"/>
    <w:rsid w:val="00965204"/>
    <w:rsid w:val="00971492"/>
    <w:rsid w:val="00976954"/>
    <w:rsid w:val="0099441F"/>
    <w:rsid w:val="009B5A39"/>
    <w:rsid w:val="009B6990"/>
    <w:rsid w:val="009C58B8"/>
    <w:rsid w:val="009D0162"/>
    <w:rsid w:val="009D1AFD"/>
    <w:rsid w:val="009E139F"/>
    <w:rsid w:val="009F0F1C"/>
    <w:rsid w:val="009F263D"/>
    <w:rsid w:val="009F3B2E"/>
    <w:rsid w:val="00A05BFF"/>
    <w:rsid w:val="00A222E8"/>
    <w:rsid w:val="00A24204"/>
    <w:rsid w:val="00A250C5"/>
    <w:rsid w:val="00A25DE7"/>
    <w:rsid w:val="00A30AD2"/>
    <w:rsid w:val="00A41CC7"/>
    <w:rsid w:val="00A4343E"/>
    <w:rsid w:val="00A464AB"/>
    <w:rsid w:val="00A6114F"/>
    <w:rsid w:val="00A634BD"/>
    <w:rsid w:val="00A71E6B"/>
    <w:rsid w:val="00A76288"/>
    <w:rsid w:val="00A81007"/>
    <w:rsid w:val="00AA6EA0"/>
    <w:rsid w:val="00AB05CF"/>
    <w:rsid w:val="00AB6F86"/>
    <w:rsid w:val="00AC0462"/>
    <w:rsid w:val="00AC3E85"/>
    <w:rsid w:val="00AC47A6"/>
    <w:rsid w:val="00AD16FC"/>
    <w:rsid w:val="00AE1F6E"/>
    <w:rsid w:val="00AE794F"/>
    <w:rsid w:val="00AE7B02"/>
    <w:rsid w:val="00AF7A25"/>
    <w:rsid w:val="00B055FE"/>
    <w:rsid w:val="00B146A1"/>
    <w:rsid w:val="00B22229"/>
    <w:rsid w:val="00B400D4"/>
    <w:rsid w:val="00B7542C"/>
    <w:rsid w:val="00B763CD"/>
    <w:rsid w:val="00B94D77"/>
    <w:rsid w:val="00BA3993"/>
    <w:rsid w:val="00BA63D4"/>
    <w:rsid w:val="00BA6F69"/>
    <w:rsid w:val="00BB269F"/>
    <w:rsid w:val="00BB6A4F"/>
    <w:rsid w:val="00BC736E"/>
    <w:rsid w:val="00BD0E3D"/>
    <w:rsid w:val="00BD13F1"/>
    <w:rsid w:val="00BE2BA5"/>
    <w:rsid w:val="00BF73DF"/>
    <w:rsid w:val="00C1570F"/>
    <w:rsid w:val="00C250C2"/>
    <w:rsid w:val="00C571C7"/>
    <w:rsid w:val="00C82C78"/>
    <w:rsid w:val="00C86128"/>
    <w:rsid w:val="00C93808"/>
    <w:rsid w:val="00CB5651"/>
    <w:rsid w:val="00CC1516"/>
    <w:rsid w:val="00CC52CB"/>
    <w:rsid w:val="00CC7B66"/>
    <w:rsid w:val="00CD4F0A"/>
    <w:rsid w:val="00CD650F"/>
    <w:rsid w:val="00CE103D"/>
    <w:rsid w:val="00CE61FA"/>
    <w:rsid w:val="00D102F4"/>
    <w:rsid w:val="00D15B24"/>
    <w:rsid w:val="00D227C3"/>
    <w:rsid w:val="00D236AF"/>
    <w:rsid w:val="00D26774"/>
    <w:rsid w:val="00D33B24"/>
    <w:rsid w:val="00D44700"/>
    <w:rsid w:val="00D61726"/>
    <w:rsid w:val="00D64265"/>
    <w:rsid w:val="00D67F35"/>
    <w:rsid w:val="00D71857"/>
    <w:rsid w:val="00D76DD7"/>
    <w:rsid w:val="00D936FB"/>
    <w:rsid w:val="00D93AA3"/>
    <w:rsid w:val="00DC0065"/>
    <w:rsid w:val="00DD1BAE"/>
    <w:rsid w:val="00DF18C8"/>
    <w:rsid w:val="00DF6661"/>
    <w:rsid w:val="00E11B22"/>
    <w:rsid w:val="00E25A7A"/>
    <w:rsid w:val="00E36CBD"/>
    <w:rsid w:val="00E4341E"/>
    <w:rsid w:val="00E46668"/>
    <w:rsid w:val="00E67DB7"/>
    <w:rsid w:val="00E71857"/>
    <w:rsid w:val="00E81C37"/>
    <w:rsid w:val="00EB7DEF"/>
    <w:rsid w:val="00ED0C0D"/>
    <w:rsid w:val="00EF2D8E"/>
    <w:rsid w:val="00F01EBE"/>
    <w:rsid w:val="00F038F7"/>
    <w:rsid w:val="00F13CE0"/>
    <w:rsid w:val="00F4136E"/>
    <w:rsid w:val="00F4147C"/>
    <w:rsid w:val="00F47226"/>
    <w:rsid w:val="00F84BED"/>
    <w:rsid w:val="00F867F5"/>
    <w:rsid w:val="00F942A7"/>
    <w:rsid w:val="00F96EB2"/>
    <w:rsid w:val="00F97BCC"/>
    <w:rsid w:val="00FA7B77"/>
    <w:rsid w:val="00FB5F79"/>
    <w:rsid w:val="00FE6260"/>
    <w:rsid w:val="00FF76E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semiHidden/>
    <w:unhideWhenUsed/>
    <w:rsid w:val="003C0C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0CE9"/>
  </w:style>
  <w:style w:type="character" w:styleId="Numeropagina">
    <w:name w:val="page number"/>
    <w:basedOn w:val="Carpredefinitoparagrafo"/>
    <w:uiPriority w:val="99"/>
    <w:semiHidden/>
    <w:unhideWhenUsed/>
    <w:rsid w:val="003C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4898">
      <w:bodyDiv w:val="1"/>
      <w:marLeft w:val="0"/>
      <w:marRight w:val="0"/>
      <w:marTop w:val="0"/>
      <w:marBottom w:val="0"/>
      <w:divBdr>
        <w:top w:val="none" w:sz="0" w:space="0" w:color="auto"/>
        <w:left w:val="none" w:sz="0" w:space="0" w:color="auto"/>
        <w:bottom w:val="none" w:sz="0" w:space="0" w:color="auto"/>
        <w:right w:val="none" w:sz="0" w:space="0" w:color="auto"/>
      </w:divBdr>
    </w:div>
    <w:div w:id="718437692">
      <w:bodyDiv w:val="1"/>
      <w:marLeft w:val="0"/>
      <w:marRight w:val="0"/>
      <w:marTop w:val="0"/>
      <w:marBottom w:val="0"/>
      <w:divBdr>
        <w:top w:val="none" w:sz="0" w:space="0" w:color="auto"/>
        <w:left w:val="none" w:sz="0" w:space="0" w:color="auto"/>
        <w:bottom w:val="none" w:sz="0" w:space="0" w:color="auto"/>
        <w:right w:val="none" w:sz="0" w:space="0" w:color="auto"/>
      </w:divBdr>
    </w:div>
    <w:div w:id="829715701">
      <w:bodyDiv w:val="1"/>
      <w:marLeft w:val="0"/>
      <w:marRight w:val="0"/>
      <w:marTop w:val="0"/>
      <w:marBottom w:val="0"/>
      <w:divBdr>
        <w:top w:val="none" w:sz="0" w:space="0" w:color="auto"/>
        <w:left w:val="none" w:sz="0" w:space="0" w:color="auto"/>
        <w:bottom w:val="none" w:sz="0" w:space="0" w:color="auto"/>
        <w:right w:val="none" w:sz="0" w:space="0" w:color="auto"/>
      </w:divBdr>
    </w:div>
    <w:div w:id="1489252494">
      <w:bodyDiv w:val="1"/>
      <w:marLeft w:val="0"/>
      <w:marRight w:val="0"/>
      <w:marTop w:val="0"/>
      <w:marBottom w:val="0"/>
      <w:divBdr>
        <w:top w:val="none" w:sz="0" w:space="0" w:color="auto"/>
        <w:left w:val="none" w:sz="0" w:space="0" w:color="auto"/>
        <w:bottom w:val="none" w:sz="0" w:space="0" w:color="auto"/>
        <w:right w:val="none" w:sz="0" w:space="0" w:color="auto"/>
      </w:divBdr>
    </w:div>
    <w:div w:id="1957716309">
      <w:bodyDiv w:val="1"/>
      <w:marLeft w:val="0"/>
      <w:marRight w:val="0"/>
      <w:marTop w:val="0"/>
      <w:marBottom w:val="0"/>
      <w:divBdr>
        <w:top w:val="none" w:sz="0" w:space="0" w:color="auto"/>
        <w:left w:val="none" w:sz="0" w:space="0" w:color="auto"/>
        <w:bottom w:val="none" w:sz="0" w:space="0" w:color="auto"/>
        <w:right w:val="none" w:sz="0" w:space="0" w:color="auto"/>
      </w:divBdr>
    </w:div>
    <w:div w:id="2029717252">
      <w:bodyDiv w:val="1"/>
      <w:marLeft w:val="0"/>
      <w:marRight w:val="0"/>
      <w:marTop w:val="0"/>
      <w:marBottom w:val="0"/>
      <w:divBdr>
        <w:top w:val="none" w:sz="0" w:space="0" w:color="auto"/>
        <w:left w:val="none" w:sz="0" w:space="0" w:color="auto"/>
        <w:bottom w:val="none" w:sz="0" w:space="0" w:color="auto"/>
        <w:right w:val="none" w:sz="0" w:space="0" w:color="auto"/>
      </w:divBdr>
    </w:div>
    <w:div w:id="2068608413">
      <w:bodyDiv w:val="1"/>
      <w:marLeft w:val="0"/>
      <w:marRight w:val="0"/>
      <w:marTop w:val="0"/>
      <w:marBottom w:val="0"/>
      <w:divBdr>
        <w:top w:val="none" w:sz="0" w:space="0" w:color="auto"/>
        <w:left w:val="none" w:sz="0" w:space="0" w:color="auto"/>
        <w:bottom w:val="none" w:sz="0" w:space="0" w:color="auto"/>
        <w:right w:val="none" w:sz="0" w:space="0" w:color="auto"/>
      </w:divBdr>
    </w:div>
    <w:div w:id="20750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Banca d'Italia</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Cecilia Paglietti</dc:creator>
  <cp:lastModifiedBy>Maria Cecilia Paglietti</cp:lastModifiedBy>
  <cp:revision>3</cp:revision>
  <dcterms:created xsi:type="dcterms:W3CDTF">2020-09-23T07:17:00Z</dcterms:created>
  <dcterms:modified xsi:type="dcterms:W3CDTF">2020-09-23T07:46:00Z</dcterms:modified>
</cp:coreProperties>
</file>