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1A" w:rsidRDefault="007C0F8A" w:rsidP="005F662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 xml:space="preserve"> “</w:t>
      </w:r>
      <w:proofErr w:type="spellStart"/>
      <w:r w:rsidR="000F231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>Mr</w:t>
      </w:r>
      <w:proofErr w:type="spellEnd"/>
      <w:r w:rsidR="000F231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 xml:space="preserve"> A </w:t>
      </w:r>
      <w:r w:rsidRPr="007C0F8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 xml:space="preserve">case” </w:t>
      </w:r>
    </w:p>
    <w:p w:rsidR="007C0F8A" w:rsidRPr="007C0F8A" w:rsidRDefault="007C0F8A" w:rsidP="005F6626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>(</w:t>
      </w:r>
      <w:r w:rsidR="00BE78B4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Fraudulent </w:t>
      </w:r>
      <w:bookmarkStart w:id="0" w:name="_GoBack"/>
      <w:r w:rsidR="005D69DE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>withdrawals after a</w:t>
      </w:r>
      <w:r w:rsidR="005D69DE" w:rsidRPr="00C529D0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 bank card </w:t>
      </w:r>
      <w:r w:rsidR="005D69DE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is </w:t>
      </w:r>
      <w:r w:rsidR="005D69DE" w:rsidRPr="00C529D0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retained </w:t>
      </w:r>
      <w:bookmarkEnd w:id="0"/>
      <w:r w:rsidR="00BE78B4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by an </w:t>
      </w:r>
      <w:r w:rsidRPr="00C529D0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>ATM</w:t>
      </w:r>
      <w:r w:rsidR="004E0E66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 xml:space="preserve"> - </w:t>
      </w:r>
      <w:r w:rsidR="00EC0154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GB"/>
        </w:rPr>
        <w:t>April 2019</w:t>
      </w:r>
      <w:r w:rsidRPr="007C0F8A">
        <w:rPr>
          <w:rFonts w:asciiTheme="majorHAnsi" w:eastAsia="Calibri" w:hAnsiTheme="majorHAnsi" w:cs="Times New Roman"/>
          <w:b/>
          <w:sz w:val="24"/>
          <w:szCs w:val="24"/>
          <w:highlight w:val="lightGray"/>
          <w:lang w:val="en-US"/>
        </w:rPr>
        <w:t>)</w:t>
      </w: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outlineLvl w:val="0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 xml:space="preserve">KEYWORDS: </w:t>
      </w:r>
    </w:p>
    <w:p w:rsidR="000103F2" w:rsidRPr="005F6626" w:rsidRDefault="000F231A" w:rsidP="00C529D0">
      <w:pPr>
        <w:spacing w:after="0" w:line="240" w:lineRule="auto"/>
        <w:jc w:val="both"/>
        <w:outlineLvl w:val="0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0F231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PSD2 </w:t>
      </w:r>
      <w:proofErr w:type="gramStart"/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 xml:space="preserve">— </w:t>
      </w:r>
      <w:r w:rsidRPr="000F231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Payment</w:t>
      </w:r>
      <w:proofErr w:type="gramEnd"/>
      <w:r w:rsidRPr="000F231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services </w:t>
      </w:r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Cash machine fraud </w:t>
      </w:r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0F231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r w:rsidR="00C529D0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>L</w:t>
      </w:r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>ebanese loop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U</w:t>
      </w:r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ndue delay in 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reporting the loss of the card </w:t>
      </w:r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G</w:t>
      </w:r>
      <w:proofErr w:type="spellStart"/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"/>
        </w:rPr>
        <w:t>ross</w:t>
      </w:r>
      <w:proofErr w:type="spellEnd"/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"/>
        </w:rPr>
        <w:t xml:space="preserve"> negligence in </w:t>
      </w:r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using the payment instrument </w:t>
      </w:r>
      <w:r w:rsidRPr="000F231A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Pr="000F231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G</w:t>
      </w:r>
      <w:proofErr w:type="spellStart"/>
      <w:r w:rsidRPr="000F231A">
        <w:rPr>
          <w:rFonts w:asciiTheme="majorHAnsi" w:eastAsia="Calibri" w:hAnsiTheme="majorHAnsi" w:cs="Times New Roman"/>
          <w:i/>
          <w:sz w:val="24"/>
          <w:szCs w:val="24"/>
          <w:lang w:val="en"/>
        </w:rPr>
        <w:t>ross</w:t>
      </w:r>
      <w:proofErr w:type="spellEnd"/>
      <w:r w:rsidRPr="000F231A">
        <w:rPr>
          <w:rFonts w:asciiTheme="majorHAnsi" w:eastAsia="Calibri" w:hAnsiTheme="majorHAnsi" w:cs="Times New Roman"/>
          <w:i/>
          <w:sz w:val="24"/>
          <w:szCs w:val="24"/>
          <w:lang w:val="en"/>
        </w:rPr>
        <w:t xml:space="preserve"> negligence </w:t>
      </w:r>
      <w:r w:rsidR="000103F2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in keeping the </w:t>
      </w:r>
      <w:r w:rsidR="00F27F63" w:rsidRPr="005F6626">
        <w:rPr>
          <w:rFonts w:asciiTheme="majorHAnsi" w:eastAsia="Calibri" w:hAnsiTheme="majorHAnsi" w:cs="Times New Roman"/>
          <w:i/>
          <w:sz w:val="24"/>
          <w:szCs w:val="24"/>
          <w:lang w:val="en-US"/>
        </w:rPr>
        <w:t>personalized</w:t>
      </w:r>
      <w:r w:rsidR="00B06420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security credentials safe </w:t>
      </w:r>
      <w:r w:rsidR="00B06420" w:rsidRPr="00B06420">
        <w:rPr>
          <w:rFonts w:asciiTheme="majorHAnsi" w:eastAsia="Calibri" w:hAnsiTheme="majorHAnsi" w:cs="Times New Roman"/>
          <w:i/>
          <w:iCs/>
          <w:sz w:val="24"/>
          <w:szCs w:val="24"/>
          <w:lang w:val="en-US"/>
        </w:rPr>
        <w:t>—</w:t>
      </w:r>
      <w:r w:rsidR="00B06420" w:rsidRPr="00B06420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  <w:r w:rsidR="00B06420">
        <w:rPr>
          <w:rFonts w:asciiTheme="majorHAnsi" w:eastAsia="Calibri" w:hAnsiTheme="majorHAnsi" w:cs="Times New Roman"/>
          <w:i/>
          <w:sz w:val="24"/>
          <w:szCs w:val="24"/>
          <w:lang w:val="en"/>
        </w:rPr>
        <w:t>R</w:t>
      </w:r>
      <w:r w:rsidR="00497109" w:rsidRPr="005F6626">
        <w:rPr>
          <w:rFonts w:asciiTheme="majorHAnsi" w:eastAsia="Calibri" w:hAnsiTheme="majorHAnsi" w:cs="Times New Roman"/>
          <w:i/>
          <w:sz w:val="24"/>
          <w:szCs w:val="24"/>
          <w:lang w:val="en"/>
        </w:rPr>
        <w:t>eal-time payments alerts.</w:t>
      </w:r>
    </w:p>
    <w:p w:rsidR="007C0F8A" w:rsidRPr="007C0F8A" w:rsidRDefault="007C0F8A" w:rsidP="00C529D0">
      <w:pPr>
        <w:spacing w:after="0" w:line="240" w:lineRule="auto"/>
        <w:jc w:val="both"/>
        <w:outlineLvl w:val="0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7C0F8A" w:rsidRPr="00C529D0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A06D5B" w:rsidRPr="007C0F8A" w:rsidRDefault="007C0F8A" w:rsidP="00EC0154">
      <w:pPr>
        <w:spacing w:after="0" w:line="240" w:lineRule="auto"/>
        <w:jc w:val="both"/>
        <w:outlineLvl w:val="0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>FACTS:</w:t>
      </w:r>
    </w:p>
    <w:p w:rsidR="00CD385C" w:rsidRPr="00C529D0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GB"/>
        </w:rPr>
        <w:t>Mr A, the holder of a bank account with respondent-intermediary, after having made a Euro 250 withdrawal from an ATM owned by the same intermediary, at 6 p.m. on 28/10/2017, was unable to access his card, which was retained by the ATM. Plaintiff asserts he timely attempted to contact the toll-free customer number to cancel the bank card, but as he was unable to reach an operator, “</w:t>
      </w:r>
      <w:r w:rsidRPr="00C529D0">
        <w:rPr>
          <w:rFonts w:asciiTheme="majorHAnsi" w:eastAsia="Calibri" w:hAnsiTheme="majorHAnsi" w:cs="Times New Roman"/>
          <w:i/>
          <w:sz w:val="24"/>
          <w:szCs w:val="24"/>
          <w:lang w:val="en-GB"/>
        </w:rPr>
        <w:t>he gave up, with the intention to try again later</w:t>
      </w:r>
      <w:r w:rsidRPr="00C529D0">
        <w:rPr>
          <w:rFonts w:asciiTheme="majorHAnsi" w:eastAsia="Calibri" w:hAnsiTheme="majorHAnsi" w:cs="Times New Roman"/>
          <w:sz w:val="24"/>
          <w:szCs w:val="24"/>
          <w:lang w:val="en-GB"/>
        </w:rPr>
        <w:t>”.</w:t>
      </w:r>
    </w:p>
    <w:p w:rsidR="007C0F8A" w:rsidRPr="00C529D0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GB"/>
        </w:rPr>
        <w:t>A few days after the incident, he discovered that at 7:39 p.m. and 9:25 p.m. on that same day, 28/10/2017, two withdrawals were made, for Euro 950 and Euro 700.00, respectively. Furthermore, at 2:15 a.m. on 29/10/2017, an additional Euro 50.00 was withdrawn from the ATM. </w:t>
      </w:r>
      <w:r w:rsidRPr="00C529D0">
        <w:rPr>
          <w:rFonts w:asciiTheme="majorHAnsi" w:eastAsia="Calibri" w:hAnsiTheme="majorHAnsi" w:cs="Times New Roman"/>
          <w:sz w:val="24"/>
          <w:szCs w:val="24"/>
          <w:lang w:val="en-GB"/>
        </w:rPr>
        <w:br/>
        <w:t>Mr A asserts that he stayed at the ATM (he advises he only left for a few minutes) for approximately 10 minutes while he attempted, unsuccessfully, to block the card retained by the ATM. During that timeframe, he did not see anyone take the card. </w:t>
      </w: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GB"/>
        </w:rPr>
      </w:pPr>
    </w:p>
    <w:p w:rsidR="007E5930" w:rsidRPr="00040708" w:rsidRDefault="007E5930" w:rsidP="007E5930">
      <w:pPr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040708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He thinks the bank should refund the money that was taken as part of the scam. </w:t>
      </w:r>
    </w:p>
    <w:p w:rsidR="00EC277F" w:rsidRPr="007E5930" w:rsidRDefault="00EC277F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</w:p>
    <w:p w:rsidR="007C0F8A" w:rsidRPr="00B06420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>LEGAL ANALYSIS:</w:t>
      </w:r>
    </w:p>
    <w:p w:rsidR="007C0F8A" w:rsidRPr="00C529D0" w:rsidRDefault="007C0F8A" w:rsidP="00C529D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>Legal provisions with specific reference to EU directive when applying:</w:t>
      </w:r>
    </w:p>
    <w:p w:rsidR="003A28F5" w:rsidRPr="003A28F5" w:rsidRDefault="000103F2" w:rsidP="003A28F5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val="en-US"/>
        </w:rPr>
      </w:pPr>
      <w:proofErr w:type="spellStart"/>
      <w:proofErr w:type="gramStart"/>
      <w:r w:rsidRPr="00C529D0">
        <w:rPr>
          <w:rFonts w:asciiTheme="majorHAnsi" w:hAnsiTheme="majorHAnsi"/>
          <w:sz w:val="24"/>
          <w:szCs w:val="24"/>
          <w:lang w:val="en-US"/>
        </w:rPr>
        <w:t>Art</w:t>
      </w:r>
      <w:r w:rsidR="00BE78B4">
        <w:rPr>
          <w:rFonts w:asciiTheme="majorHAnsi" w:hAnsiTheme="majorHAnsi"/>
          <w:sz w:val="24"/>
          <w:szCs w:val="24"/>
          <w:lang w:val="en-US"/>
        </w:rPr>
        <w:t>t</w:t>
      </w:r>
      <w:proofErr w:type="spellEnd"/>
      <w:r w:rsidR="00BE78B4">
        <w:rPr>
          <w:rFonts w:asciiTheme="majorHAnsi" w:hAnsiTheme="majorHAnsi"/>
          <w:sz w:val="24"/>
          <w:szCs w:val="24"/>
          <w:lang w:val="en-US"/>
        </w:rPr>
        <w:t>.</w:t>
      </w:r>
      <w:proofErr w:type="gramEnd"/>
      <w:r w:rsidR="00BE78B4">
        <w:rPr>
          <w:rFonts w:asciiTheme="majorHAnsi" w:hAnsiTheme="majorHAnsi"/>
          <w:sz w:val="24"/>
          <w:szCs w:val="24"/>
          <w:lang w:val="en-US"/>
        </w:rPr>
        <w:t xml:space="preserve"> 69, par. 1, </w:t>
      </w:r>
      <w:proofErr w:type="spellStart"/>
      <w:r w:rsidR="00BE78B4">
        <w:rPr>
          <w:rFonts w:asciiTheme="majorHAnsi" w:hAnsiTheme="majorHAnsi"/>
          <w:sz w:val="24"/>
          <w:szCs w:val="24"/>
          <w:lang w:val="en-US"/>
        </w:rPr>
        <w:t>lett</w:t>
      </w:r>
      <w:proofErr w:type="spellEnd"/>
      <w:r w:rsidR="00BE78B4">
        <w:rPr>
          <w:rFonts w:asciiTheme="majorHAnsi" w:hAnsiTheme="majorHAnsi"/>
          <w:sz w:val="24"/>
          <w:szCs w:val="24"/>
          <w:lang w:val="en-US"/>
        </w:rPr>
        <w:t xml:space="preserve"> a) and b)</w:t>
      </w:r>
      <w:r w:rsidR="000B1F99">
        <w:rPr>
          <w:rFonts w:asciiTheme="majorHAnsi" w:hAnsiTheme="majorHAnsi"/>
          <w:sz w:val="24"/>
          <w:szCs w:val="24"/>
          <w:lang w:val="en-US"/>
        </w:rPr>
        <w:t>;</w:t>
      </w:r>
      <w:r w:rsidR="00BE78B4">
        <w:rPr>
          <w:rFonts w:asciiTheme="majorHAnsi" w:hAnsiTheme="majorHAnsi"/>
          <w:sz w:val="24"/>
          <w:szCs w:val="24"/>
          <w:lang w:val="en-US"/>
        </w:rPr>
        <w:t xml:space="preserve"> and </w:t>
      </w:r>
      <w:r w:rsidRPr="00C529D0">
        <w:rPr>
          <w:rFonts w:asciiTheme="majorHAnsi" w:hAnsiTheme="majorHAnsi"/>
          <w:sz w:val="24"/>
          <w:szCs w:val="24"/>
          <w:lang w:val="en-US"/>
        </w:rPr>
        <w:t xml:space="preserve">70, par. 1, </w:t>
      </w:r>
      <w:proofErr w:type="spellStart"/>
      <w:r w:rsidRPr="00C529D0">
        <w:rPr>
          <w:rFonts w:asciiTheme="majorHAnsi" w:hAnsiTheme="majorHAnsi"/>
          <w:sz w:val="24"/>
          <w:szCs w:val="24"/>
          <w:lang w:val="en-US"/>
        </w:rPr>
        <w:t>lett</w:t>
      </w:r>
      <w:proofErr w:type="spellEnd"/>
      <w:r w:rsidRPr="00C529D0">
        <w:rPr>
          <w:rFonts w:asciiTheme="majorHAnsi" w:hAnsiTheme="majorHAnsi"/>
          <w:sz w:val="24"/>
          <w:szCs w:val="24"/>
          <w:lang w:val="en-US"/>
        </w:rPr>
        <w:t xml:space="preserve"> c), </w:t>
      </w:r>
      <w:r w:rsidR="00B06420" w:rsidRPr="00B06420">
        <w:rPr>
          <w:rFonts w:asciiTheme="majorHAnsi" w:hAnsiTheme="majorHAnsi"/>
          <w:bCs/>
          <w:sz w:val="24"/>
          <w:szCs w:val="24"/>
          <w:lang w:val="en-US"/>
        </w:rPr>
        <w:t>Directive (EU) 2015/2366 of the European Parliament and of the Council of 25 November 2015 on payment services in the internal market</w:t>
      </w:r>
      <w:r w:rsidR="00B06420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9541C">
        <w:rPr>
          <w:rFonts w:asciiTheme="majorHAnsi" w:hAnsiTheme="majorHAnsi"/>
          <w:sz w:val="24"/>
          <w:szCs w:val="24"/>
          <w:lang w:val="en-US"/>
        </w:rPr>
        <w:t>(PSD2)</w:t>
      </w:r>
      <w:r w:rsidRPr="00C529D0">
        <w:rPr>
          <w:rFonts w:asciiTheme="majorHAnsi" w:hAnsiTheme="majorHAnsi"/>
          <w:sz w:val="24"/>
          <w:szCs w:val="24"/>
          <w:lang w:val="en-US"/>
        </w:rPr>
        <w:t xml:space="preserve">; </w:t>
      </w:r>
      <w:proofErr w:type="spellStart"/>
      <w:r w:rsidRPr="00C529D0">
        <w:rPr>
          <w:rFonts w:asciiTheme="majorHAnsi" w:hAnsiTheme="majorHAnsi"/>
          <w:sz w:val="24"/>
          <w:szCs w:val="24"/>
          <w:lang w:val="en-US"/>
        </w:rPr>
        <w:t>artt</w:t>
      </w:r>
      <w:proofErr w:type="spellEnd"/>
      <w:r w:rsidRPr="00C529D0">
        <w:rPr>
          <w:rFonts w:asciiTheme="majorHAnsi" w:hAnsiTheme="majorHAnsi"/>
          <w:sz w:val="24"/>
          <w:szCs w:val="24"/>
          <w:lang w:val="en-US"/>
        </w:rPr>
        <w:t xml:space="preserve">. 7, </w:t>
      </w:r>
      <w:r w:rsidR="00B06420">
        <w:rPr>
          <w:rFonts w:asciiTheme="majorHAnsi" w:hAnsiTheme="majorHAnsi"/>
          <w:sz w:val="24"/>
          <w:szCs w:val="24"/>
          <w:lang w:val="en-US"/>
        </w:rPr>
        <w:t xml:space="preserve">par. </w:t>
      </w:r>
      <w:r w:rsidRPr="00C529D0">
        <w:rPr>
          <w:rFonts w:asciiTheme="majorHAnsi" w:hAnsiTheme="majorHAnsi"/>
          <w:sz w:val="24"/>
          <w:szCs w:val="24"/>
          <w:lang w:val="en-US"/>
        </w:rPr>
        <w:t xml:space="preserve">1, </w:t>
      </w:r>
      <w:proofErr w:type="gramStart"/>
      <w:r w:rsidRPr="00C529D0">
        <w:rPr>
          <w:rFonts w:asciiTheme="majorHAnsi" w:hAnsiTheme="majorHAnsi"/>
          <w:sz w:val="24"/>
          <w:szCs w:val="24"/>
          <w:lang w:val="en-US"/>
        </w:rPr>
        <w:t>lett</w:t>
      </w:r>
      <w:proofErr w:type="gramEnd"/>
      <w:r w:rsidRPr="00C529D0">
        <w:rPr>
          <w:rFonts w:asciiTheme="majorHAnsi" w:hAnsiTheme="majorHAnsi"/>
          <w:sz w:val="24"/>
          <w:szCs w:val="24"/>
          <w:lang w:val="en-US"/>
        </w:rPr>
        <w:t xml:space="preserve">. a) and </w:t>
      </w:r>
      <w:r w:rsidR="003A28F5">
        <w:rPr>
          <w:rFonts w:asciiTheme="majorHAnsi" w:hAnsiTheme="majorHAnsi"/>
          <w:sz w:val="24"/>
          <w:szCs w:val="24"/>
          <w:lang w:val="en-US"/>
        </w:rPr>
        <w:t xml:space="preserve">par. </w:t>
      </w:r>
      <w:r w:rsidRPr="00C529D0">
        <w:rPr>
          <w:rFonts w:asciiTheme="majorHAnsi" w:hAnsiTheme="majorHAnsi"/>
          <w:sz w:val="24"/>
          <w:szCs w:val="24"/>
          <w:lang w:val="en-US"/>
        </w:rPr>
        <w:t xml:space="preserve">2, and 8 </w:t>
      </w:r>
      <w:r w:rsidR="003A28F5" w:rsidRPr="003A28F5">
        <w:rPr>
          <w:rFonts w:asciiTheme="majorHAnsi" w:hAnsiTheme="majorHAnsi"/>
          <w:bCs/>
          <w:sz w:val="24"/>
          <w:szCs w:val="24"/>
          <w:lang w:val="en-US"/>
        </w:rPr>
        <w:t>Legislative decree, 15 December 2017, n. 218, implementing Directive (EU) 2015/2366 on payment services in the internal market</w:t>
      </w:r>
      <w:r w:rsidR="000379F1">
        <w:rPr>
          <w:rFonts w:asciiTheme="majorHAnsi" w:hAnsiTheme="majorHAnsi"/>
          <w:bCs/>
          <w:sz w:val="24"/>
          <w:szCs w:val="24"/>
          <w:lang w:val="en-US"/>
        </w:rPr>
        <w:t xml:space="preserve">; </w:t>
      </w:r>
      <w:proofErr w:type="spellStart"/>
      <w:r w:rsidR="000379F1" w:rsidRPr="000379F1">
        <w:rPr>
          <w:rFonts w:asciiTheme="majorHAnsi" w:hAnsiTheme="majorHAnsi"/>
          <w:bCs/>
          <w:sz w:val="24"/>
          <w:szCs w:val="24"/>
          <w:lang w:val="en"/>
        </w:rPr>
        <w:t>artt</w:t>
      </w:r>
      <w:proofErr w:type="spellEnd"/>
      <w:r w:rsidR="000379F1" w:rsidRPr="000379F1">
        <w:rPr>
          <w:rFonts w:asciiTheme="majorHAnsi" w:hAnsiTheme="majorHAnsi"/>
          <w:bCs/>
          <w:sz w:val="24"/>
          <w:szCs w:val="24"/>
          <w:lang w:val="en"/>
        </w:rPr>
        <w:t xml:space="preserve">. </w:t>
      </w:r>
      <w:r w:rsidR="000379F1" w:rsidRPr="000379F1">
        <w:rPr>
          <w:rFonts w:asciiTheme="majorHAnsi" w:hAnsiTheme="majorHAnsi"/>
          <w:bCs/>
          <w:sz w:val="24"/>
          <w:szCs w:val="24"/>
          <w:lang w:val="en-US"/>
        </w:rPr>
        <w:t xml:space="preserve">1176 and 2050 </w:t>
      </w:r>
      <w:r w:rsidR="000379F1">
        <w:rPr>
          <w:rFonts w:asciiTheme="majorHAnsi" w:hAnsiTheme="majorHAnsi"/>
          <w:bCs/>
          <w:sz w:val="24"/>
          <w:szCs w:val="24"/>
          <w:lang w:val="en-US"/>
        </w:rPr>
        <w:t xml:space="preserve">Italian </w:t>
      </w:r>
      <w:r w:rsidR="000379F1" w:rsidRPr="000379F1">
        <w:rPr>
          <w:rFonts w:asciiTheme="majorHAnsi" w:hAnsiTheme="majorHAnsi"/>
          <w:bCs/>
          <w:sz w:val="24"/>
          <w:szCs w:val="24"/>
          <w:lang w:val="en-US"/>
        </w:rPr>
        <w:t>Civil Code</w:t>
      </w:r>
      <w:r w:rsidR="000379F1">
        <w:rPr>
          <w:rFonts w:asciiTheme="majorHAnsi" w:hAnsiTheme="majorHAnsi"/>
          <w:bCs/>
          <w:sz w:val="24"/>
          <w:szCs w:val="24"/>
          <w:lang w:val="en-US"/>
        </w:rPr>
        <w:t>.</w:t>
      </w:r>
    </w:p>
    <w:p w:rsidR="000103F2" w:rsidRPr="007C0F8A" w:rsidRDefault="000103F2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CD385C" w:rsidRPr="00C529D0" w:rsidRDefault="00CD385C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>LEGAL SOLUTION:</w:t>
      </w:r>
      <w:r w:rsidRPr="007C0F8A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</w:p>
    <w:p w:rsidR="00F75EC3" w:rsidRPr="00C529D0" w:rsidRDefault="00F75EC3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After examining all the facts, we came to the conclusion tha</w:t>
      </w:r>
      <w:r w:rsidR="00415E1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t </w:t>
      </w:r>
      <w:proofErr w:type="spellStart"/>
      <w:r w:rsidR="00415E16">
        <w:rPr>
          <w:rFonts w:asciiTheme="majorHAnsi" w:eastAsia="Calibri" w:hAnsiTheme="majorHAnsi" w:cs="Times New Roman"/>
          <w:sz w:val="24"/>
          <w:szCs w:val="24"/>
          <w:lang w:val="en-US"/>
        </w:rPr>
        <w:t>Mr</w:t>
      </w:r>
      <w:proofErr w:type="spellEnd"/>
      <w:r w:rsidR="005F662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="00AC201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A </w:t>
      </w:r>
      <w:r w:rsidR="005F6626">
        <w:rPr>
          <w:rFonts w:asciiTheme="majorHAnsi" w:eastAsia="Calibri" w:hAnsiTheme="majorHAnsi" w:cs="Times New Roman"/>
          <w:sz w:val="24"/>
          <w:szCs w:val="24"/>
          <w:lang w:val="en-US"/>
        </w:rPr>
        <w:t>was victim of a Lebanese l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oop, which is a quite common card fraud scheme: after having typed the PIN and requested the funds, the ATM machine looked like to “swallow” the card. As he believed the machine had genuinely retained his card for a malfunction, he tried </w:t>
      </w:r>
      <w:r w:rsidR="00AC201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to 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notify the payment service provider of the loss of the payment instrument, but </w:t>
      </w:r>
      <w:r w:rsidR="006903B5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then he gave up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. While we did not find any negligence in his conduct in the care of the card and the use his personal identification number (PIN), we found </w:t>
      </w:r>
      <w:r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he had been negligent for not </w:t>
      </w:r>
      <w:r w:rsidRPr="005C6522">
        <w:rPr>
          <w:rFonts w:asciiTheme="majorHAnsi" w:eastAsia="Calibri" w:hAnsiTheme="majorHAnsi" w:cs="Times New Roman"/>
          <w:iCs/>
          <w:sz w:val="24"/>
          <w:szCs w:val="24"/>
          <w:lang w:val="en"/>
        </w:rPr>
        <w:t>promptly notify</w:t>
      </w:r>
      <w:r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 the card loss. As he admitted, in fact, he just tried to reach the intermediary, and</w:t>
      </w:r>
      <w:r w:rsidR="005C6522">
        <w:rPr>
          <w:rFonts w:asciiTheme="majorHAnsi" w:eastAsia="Calibri" w:hAnsiTheme="majorHAnsi" w:cs="Times New Roman"/>
          <w:sz w:val="24"/>
          <w:szCs w:val="24"/>
          <w:lang w:val="en"/>
        </w:rPr>
        <w:t>,</w:t>
      </w:r>
      <w:r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 </w:t>
      </w:r>
      <w:r w:rsidR="005C6522">
        <w:rPr>
          <w:rFonts w:asciiTheme="majorHAnsi" w:eastAsia="Calibri" w:hAnsiTheme="majorHAnsi" w:cs="Times New Roman"/>
          <w:sz w:val="24"/>
          <w:szCs w:val="24"/>
          <w:lang w:val="en"/>
        </w:rPr>
        <w:t>after a few minutes, gave up.</w:t>
      </w:r>
    </w:p>
    <w:p w:rsidR="00F75EC3" w:rsidRPr="00C529D0" w:rsidRDefault="00F75EC3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As the PSD2 provides that the cardholder can be held liable for unauthorized transfers </w:t>
      </w:r>
      <w:r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as long as he promptly notified of the loss, 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the circumstance that he didn’t act fast does not limit his liability for charges he didn’t authorize before the notify. </w:t>
      </w:r>
    </w:p>
    <w:p w:rsidR="00F75EC3" w:rsidRPr="00C529D0" w:rsidRDefault="00F75EC3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lastRenderedPageBreak/>
        <w:t xml:space="preserve">At the same time, we found the financial intermediary’s behavior grossly negligent, for not having provided a </w:t>
      </w:r>
      <w:r w:rsidRPr="00C529D0">
        <w:rPr>
          <w:rFonts w:asciiTheme="majorHAnsi" w:eastAsia="Calibri" w:hAnsiTheme="majorHAnsi" w:cs="Times New Roman"/>
          <w:sz w:val="24"/>
          <w:szCs w:val="24"/>
          <w:lang w:val="en"/>
        </w:rPr>
        <w:t>system of text message notification, in order to have its client’s up-to-date mobile telephone number.</w:t>
      </w:r>
    </w:p>
    <w:p w:rsidR="00F75EC3" w:rsidRPr="00C529D0" w:rsidRDefault="00355268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>
        <w:rPr>
          <w:rFonts w:asciiTheme="majorHAnsi" w:eastAsia="Calibri" w:hAnsiTheme="majorHAnsi" w:cs="Times New Roman"/>
          <w:sz w:val="24"/>
          <w:szCs w:val="24"/>
          <w:lang w:val="en"/>
        </w:rPr>
        <w:t xml:space="preserve">According to the </w:t>
      </w:r>
      <w:r w:rsidR="00415E16">
        <w:rPr>
          <w:rFonts w:asciiTheme="majorHAnsi" w:eastAsia="Calibri" w:hAnsiTheme="majorHAnsi" w:cs="Times New Roman"/>
          <w:sz w:val="24"/>
          <w:szCs w:val="24"/>
          <w:lang w:val="en"/>
        </w:rPr>
        <w:t xml:space="preserve">Dir. 2366/2015, </w:t>
      </w:r>
      <w:r>
        <w:rPr>
          <w:rFonts w:asciiTheme="majorHAnsi" w:eastAsia="Calibri" w:hAnsiTheme="majorHAnsi" w:cs="Times New Roman"/>
          <w:sz w:val="24"/>
          <w:szCs w:val="24"/>
          <w:lang w:val="en"/>
        </w:rPr>
        <w:t xml:space="preserve">the </w:t>
      </w:r>
      <w:r w:rsidRPr="00355268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national </w:t>
      </w:r>
      <w:r>
        <w:rPr>
          <w:rFonts w:asciiTheme="majorHAnsi" w:eastAsia="Calibri" w:hAnsiTheme="majorHAnsi" w:cs="Times New Roman"/>
          <w:sz w:val="24"/>
          <w:szCs w:val="24"/>
          <w:lang w:val="en-US"/>
        </w:rPr>
        <w:t>Italian rules implementing PSD2</w:t>
      </w:r>
      <w:r w:rsidR="00415E16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="00AB2E4F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and also to the </w:t>
      </w:r>
      <w:r w:rsidR="00AB2E4F">
        <w:rPr>
          <w:rFonts w:asciiTheme="majorHAnsi" w:eastAsia="Calibri" w:hAnsiTheme="majorHAnsi" w:cs="Times New Roman"/>
          <w:sz w:val="24"/>
          <w:szCs w:val="24"/>
          <w:lang w:val="en"/>
        </w:rPr>
        <w:t>general provisions of the I</w:t>
      </w:r>
      <w:r w:rsidR="00AB2E4F" w:rsidRPr="00AB2E4F">
        <w:rPr>
          <w:rFonts w:asciiTheme="majorHAnsi" w:eastAsia="Calibri" w:hAnsiTheme="majorHAnsi" w:cs="Times New Roman"/>
          <w:sz w:val="24"/>
          <w:szCs w:val="24"/>
          <w:lang w:val="en"/>
        </w:rPr>
        <w:t xml:space="preserve">talian legislation </w:t>
      </w:r>
      <w:r w:rsidR="00415E16">
        <w:rPr>
          <w:rFonts w:asciiTheme="majorHAnsi" w:eastAsia="Calibri" w:hAnsiTheme="majorHAnsi" w:cs="Times New Roman"/>
          <w:sz w:val="24"/>
          <w:szCs w:val="24"/>
          <w:lang w:val="en"/>
        </w:rPr>
        <w:t>(</w:t>
      </w:r>
      <w:proofErr w:type="spellStart"/>
      <w:r w:rsidR="00AB2E4F">
        <w:rPr>
          <w:rFonts w:asciiTheme="majorHAnsi" w:eastAsia="Calibri" w:hAnsiTheme="majorHAnsi" w:cs="Times New Roman"/>
          <w:sz w:val="24"/>
          <w:szCs w:val="24"/>
          <w:lang w:val="en"/>
        </w:rPr>
        <w:t>artt</w:t>
      </w:r>
      <w:proofErr w:type="spellEnd"/>
      <w:r w:rsidR="00AB2E4F">
        <w:rPr>
          <w:rFonts w:asciiTheme="majorHAnsi" w:eastAsia="Calibri" w:hAnsiTheme="majorHAnsi" w:cs="Times New Roman"/>
          <w:sz w:val="24"/>
          <w:szCs w:val="24"/>
          <w:lang w:val="en"/>
        </w:rPr>
        <w:t xml:space="preserve">. </w:t>
      </w:r>
      <w:r w:rsidR="000379F1" w:rsidRPr="000379F1">
        <w:rPr>
          <w:rFonts w:asciiTheme="majorHAnsi" w:eastAsia="Calibri" w:hAnsiTheme="majorHAnsi" w:cs="Times New Roman"/>
          <w:sz w:val="24"/>
          <w:szCs w:val="24"/>
          <w:lang w:val="en-US"/>
        </w:rPr>
        <w:t>1176</w:t>
      </w:r>
      <w:r w:rsidR="000379F1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and </w:t>
      </w:r>
      <w:r w:rsidR="000379F1">
        <w:rPr>
          <w:rFonts w:asciiTheme="majorHAnsi" w:eastAsia="Calibri" w:hAnsiTheme="majorHAnsi" w:cs="Times New Roman"/>
          <w:sz w:val="24"/>
          <w:szCs w:val="24"/>
          <w:lang w:val="en-US"/>
        </w:rPr>
        <w:t>2050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="000379F1">
        <w:rPr>
          <w:rFonts w:asciiTheme="majorHAnsi" w:eastAsia="Calibri" w:hAnsiTheme="majorHAnsi" w:cs="Times New Roman"/>
          <w:sz w:val="24"/>
          <w:szCs w:val="24"/>
          <w:lang w:val="en-US"/>
        </w:rPr>
        <w:t>Civil Code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)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, banks must 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activate the SMS alert service on clients’ mobile phone</w:t>
      </w:r>
      <w:r w:rsidR="002F2BF7">
        <w:rPr>
          <w:rFonts w:asciiTheme="majorHAnsi" w:eastAsia="Calibri" w:hAnsiTheme="majorHAnsi" w:cs="Times New Roman"/>
          <w:sz w:val="24"/>
          <w:szCs w:val="24"/>
          <w:lang w:val="en-US"/>
        </w:rPr>
        <w:t>,</w:t>
      </w:r>
      <w:r w:rsidR="00F75EC3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so that they can receive all updates for their bank account on the phone itself.</w:t>
      </w:r>
    </w:p>
    <w:p w:rsidR="007C0F8A" w:rsidRPr="00C529D0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 xml:space="preserve">SUGGESTED SOLUTION: </w:t>
      </w:r>
    </w:p>
    <w:p w:rsidR="005E3CBC" w:rsidRPr="005E3CBC" w:rsidRDefault="005E3CBC" w:rsidP="005E3CBC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>
        <w:rPr>
          <w:rFonts w:asciiTheme="majorHAnsi" w:eastAsia="Calibri" w:hAnsiTheme="majorHAnsi" w:cs="Times New Roman"/>
          <w:sz w:val="24"/>
          <w:szCs w:val="24"/>
          <w:lang w:val="en-US"/>
        </w:rPr>
        <w:t>T</w:t>
      </w:r>
      <w:r w:rsidRPr="005E3CBC">
        <w:rPr>
          <w:rFonts w:asciiTheme="majorHAnsi" w:eastAsia="Calibri" w:hAnsiTheme="majorHAnsi" w:cs="Times New Roman"/>
          <w:sz w:val="24"/>
          <w:szCs w:val="24"/>
          <w:lang w:val="en-US"/>
        </w:rPr>
        <w:t>he use of a payment instrument is not in itself sufficient to prove either that the</w:t>
      </w:r>
      <w:r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Pr="005E3CBC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payment transaction was </w:t>
      </w:r>
      <w:r w:rsidR="000B1F99" w:rsidRPr="005E3CBC">
        <w:rPr>
          <w:rFonts w:asciiTheme="majorHAnsi" w:eastAsia="Calibri" w:hAnsiTheme="majorHAnsi" w:cs="Times New Roman"/>
          <w:sz w:val="24"/>
          <w:szCs w:val="24"/>
          <w:lang w:val="en-US"/>
        </w:rPr>
        <w:t>authorized</w:t>
      </w:r>
      <w:r w:rsidRPr="005E3CBC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or that the customer acted with intent or gross</w:t>
      </w:r>
      <w:r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  <w:r w:rsidRPr="005E3CBC">
        <w:rPr>
          <w:rFonts w:asciiTheme="majorHAnsi" w:eastAsia="Calibri" w:hAnsiTheme="majorHAnsi" w:cs="Times New Roman"/>
          <w:sz w:val="24"/>
          <w:szCs w:val="24"/>
          <w:lang w:val="en-US"/>
        </w:rPr>
        <w:t>negligence.</w:t>
      </w:r>
    </w:p>
    <w:p w:rsidR="007C0F8A" w:rsidRPr="00C529D0" w:rsidRDefault="00F75EC3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Submit a claim to the ABF, not expecting to get the </w:t>
      </w:r>
      <w:r w:rsidR="00BD3D0D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entire amount ref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>und</w:t>
      </w:r>
      <w:r w:rsidR="00DA29DC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, </w:t>
      </w:r>
      <w:r w:rsidR="00BD3D0D"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since the </w:t>
      </w:r>
      <w:r w:rsidR="00BD3D0D" w:rsidRPr="00C529D0">
        <w:rPr>
          <w:rFonts w:asciiTheme="majorHAnsi" w:eastAsia="Calibri" w:hAnsiTheme="majorHAnsi" w:cs="Times New Roman"/>
          <w:sz w:val="24"/>
          <w:szCs w:val="24"/>
          <w:lang w:val="en"/>
        </w:rPr>
        <w:t xml:space="preserve">client is </w:t>
      </w:r>
      <w:r w:rsidR="00BD3D0D" w:rsidRPr="00C529D0">
        <w:rPr>
          <w:rFonts w:asciiTheme="majorHAnsi" w:eastAsia="Calibri" w:hAnsiTheme="majorHAnsi" w:cs="Times New Roman"/>
          <w:iCs/>
          <w:sz w:val="24"/>
          <w:szCs w:val="24"/>
          <w:lang w:val="en"/>
        </w:rPr>
        <w:t>guilty of contributory negligence</w:t>
      </w:r>
      <w:r w:rsidR="00BD3D0D" w:rsidRPr="00C529D0">
        <w:rPr>
          <w:rFonts w:asciiTheme="majorHAnsi" w:eastAsia="Calibri" w:hAnsiTheme="majorHAnsi" w:cs="Times New Roman"/>
          <w:sz w:val="24"/>
          <w:szCs w:val="24"/>
          <w:lang w:val="en"/>
        </w:rPr>
        <w:t>.</w:t>
      </w:r>
      <w:r w:rsidRPr="00C529D0">
        <w:rPr>
          <w:rFonts w:asciiTheme="majorHAnsi" w:eastAsia="Calibri" w:hAnsiTheme="majorHAnsi" w:cs="Times New Roman"/>
          <w:sz w:val="24"/>
          <w:szCs w:val="24"/>
          <w:lang w:val="en-US"/>
        </w:rPr>
        <w:t xml:space="preserve"> </w:t>
      </w:r>
    </w:p>
    <w:p w:rsidR="00BD3D0D" w:rsidRPr="00C529D0" w:rsidRDefault="00BD3D0D" w:rsidP="00C529D0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  <w:lang w:val="en-US"/>
        </w:rPr>
      </w:pPr>
    </w:p>
    <w:p w:rsidR="007C0F8A" w:rsidRPr="007C0F8A" w:rsidRDefault="007C0F8A" w:rsidP="00C529D0">
      <w:pPr>
        <w:spacing w:after="0" w:line="240" w:lineRule="auto"/>
        <w:jc w:val="both"/>
        <w:rPr>
          <w:rFonts w:asciiTheme="majorHAnsi" w:eastAsia="Calibri" w:hAnsiTheme="majorHAnsi" w:cs="Times New Roman"/>
          <w:i/>
          <w:sz w:val="24"/>
          <w:szCs w:val="24"/>
          <w:lang w:val="en-US"/>
        </w:rPr>
      </w:pPr>
      <w:r w:rsidRPr="007C0F8A">
        <w:rPr>
          <w:rFonts w:asciiTheme="majorHAnsi" w:eastAsia="Calibri" w:hAnsiTheme="majorHAnsi" w:cs="Times New Roman"/>
          <w:b/>
          <w:sz w:val="24"/>
          <w:szCs w:val="24"/>
          <w:lang w:val="en-US"/>
        </w:rPr>
        <w:t>SPECIFIC REMARKS:</w:t>
      </w:r>
      <w:r w:rsidRPr="007C0F8A">
        <w:rPr>
          <w:rFonts w:asciiTheme="majorHAnsi" w:eastAsia="Calibri" w:hAnsiTheme="majorHAnsi" w:cs="Times New Roman"/>
          <w:i/>
          <w:sz w:val="24"/>
          <w:szCs w:val="24"/>
          <w:lang w:val="en-US"/>
        </w:rPr>
        <w:t xml:space="preserve"> </w:t>
      </w:r>
    </w:p>
    <w:p w:rsidR="00582C1A" w:rsidRPr="00F93D21" w:rsidRDefault="000A0428" w:rsidP="00C529D0">
      <w:pPr>
        <w:jc w:val="both"/>
        <w:rPr>
          <w:rFonts w:asciiTheme="majorHAnsi" w:hAnsiTheme="majorHAnsi"/>
          <w:lang w:val="en-US"/>
        </w:rPr>
      </w:pPr>
      <w:r w:rsidRPr="000A0428">
        <w:rPr>
          <w:rFonts w:asciiTheme="majorHAnsi" w:hAnsiTheme="majorHAnsi"/>
          <w:lang w:val="en-US"/>
        </w:rPr>
        <w:t>Questions of loss allocation are mainly regulated by the national rules implementing this liability regime</w:t>
      </w:r>
      <w:r>
        <w:rPr>
          <w:rFonts w:asciiTheme="majorHAnsi" w:hAnsiTheme="majorHAnsi"/>
          <w:lang w:val="en-US"/>
        </w:rPr>
        <w:t xml:space="preserve">. </w:t>
      </w:r>
      <w:r w:rsidR="002F2BF7" w:rsidRPr="001D7585">
        <w:rPr>
          <w:rFonts w:asciiTheme="majorHAnsi" w:hAnsiTheme="majorHAnsi"/>
          <w:lang w:val="en-US"/>
        </w:rPr>
        <w:t xml:space="preserve">Notification of </w:t>
      </w:r>
      <w:r w:rsidR="00F93D21" w:rsidRPr="001D7585">
        <w:rPr>
          <w:rFonts w:asciiTheme="majorHAnsi" w:hAnsiTheme="majorHAnsi"/>
          <w:lang w:val="en-US"/>
        </w:rPr>
        <w:t xml:space="preserve">card loss is </w:t>
      </w:r>
      <w:r w:rsidR="001D7585" w:rsidRPr="001D7585">
        <w:rPr>
          <w:rFonts w:asciiTheme="majorHAnsi" w:hAnsiTheme="majorHAnsi"/>
          <w:lang w:val="en-US"/>
        </w:rPr>
        <w:t xml:space="preserve">crucial </w:t>
      </w:r>
      <w:r w:rsidR="00F93D21" w:rsidRPr="001D7585">
        <w:rPr>
          <w:rFonts w:asciiTheme="majorHAnsi" w:hAnsiTheme="majorHAnsi"/>
          <w:lang w:val="en-US"/>
        </w:rPr>
        <w:t xml:space="preserve">in </w:t>
      </w:r>
      <w:r w:rsidR="001D7585" w:rsidRPr="001D7585">
        <w:rPr>
          <w:rFonts w:asciiTheme="majorHAnsi" w:hAnsiTheme="majorHAnsi"/>
          <w:lang w:val="en-US"/>
        </w:rPr>
        <w:t xml:space="preserve">payments systems </w:t>
      </w:r>
      <w:r w:rsidR="00F93D21" w:rsidRPr="001D7585">
        <w:rPr>
          <w:rFonts w:asciiTheme="majorHAnsi" w:hAnsiTheme="majorHAnsi"/>
          <w:lang w:val="en-US"/>
        </w:rPr>
        <w:t>risk allocation.</w:t>
      </w:r>
    </w:p>
    <w:sectPr w:rsidR="00582C1A" w:rsidRPr="00F93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68D"/>
    <w:multiLevelType w:val="multilevel"/>
    <w:tmpl w:val="10085CA8"/>
    <w:lvl w:ilvl="0">
      <w:start w:val="1"/>
      <w:numFmt w:val="decimal"/>
      <w:lvlText w:val="%1)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color w:val="212121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C63"/>
    <w:multiLevelType w:val="hybridMultilevel"/>
    <w:tmpl w:val="E0ACB956"/>
    <w:lvl w:ilvl="0" w:tplc="92C4E4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8A"/>
    <w:rsid w:val="000103F2"/>
    <w:rsid w:val="00011CA7"/>
    <w:rsid w:val="00030418"/>
    <w:rsid w:val="000379F1"/>
    <w:rsid w:val="00040708"/>
    <w:rsid w:val="0006263E"/>
    <w:rsid w:val="000721F4"/>
    <w:rsid w:val="000A0428"/>
    <w:rsid w:val="000A5FB6"/>
    <w:rsid w:val="000B1F99"/>
    <w:rsid w:val="000B7405"/>
    <w:rsid w:val="000C6FD3"/>
    <w:rsid w:val="000F231A"/>
    <w:rsid w:val="000F485E"/>
    <w:rsid w:val="000F556A"/>
    <w:rsid w:val="0010027A"/>
    <w:rsid w:val="0011661F"/>
    <w:rsid w:val="0012227D"/>
    <w:rsid w:val="00136695"/>
    <w:rsid w:val="00157B77"/>
    <w:rsid w:val="001635A7"/>
    <w:rsid w:val="00165EC6"/>
    <w:rsid w:val="00173EEE"/>
    <w:rsid w:val="001874CA"/>
    <w:rsid w:val="001931F4"/>
    <w:rsid w:val="001B61F9"/>
    <w:rsid w:val="001B6457"/>
    <w:rsid w:val="001C1959"/>
    <w:rsid w:val="001C3B6C"/>
    <w:rsid w:val="001D7585"/>
    <w:rsid w:val="0021079A"/>
    <w:rsid w:val="00211D18"/>
    <w:rsid w:val="00212AB8"/>
    <w:rsid w:val="002220F8"/>
    <w:rsid w:val="0023401A"/>
    <w:rsid w:val="00245C4E"/>
    <w:rsid w:val="00246CC1"/>
    <w:rsid w:val="00257FF0"/>
    <w:rsid w:val="002771A4"/>
    <w:rsid w:val="00282233"/>
    <w:rsid w:val="0029242D"/>
    <w:rsid w:val="002A63DC"/>
    <w:rsid w:val="002A6F47"/>
    <w:rsid w:val="002B616A"/>
    <w:rsid w:val="002C1EF3"/>
    <w:rsid w:val="002C7757"/>
    <w:rsid w:val="002F2BF7"/>
    <w:rsid w:val="00310B99"/>
    <w:rsid w:val="003168AA"/>
    <w:rsid w:val="0032250F"/>
    <w:rsid w:val="00332BCA"/>
    <w:rsid w:val="00354BFD"/>
    <w:rsid w:val="00355268"/>
    <w:rsid w:val="00355A19"/>
    <w:rsid w:val="00362762"/>
    <w:rsid w:val="00374A51"/>
    <w:rsid w:val="00383CFF"/>
    <w:rsid w:val="003A0177"/>
    <w:rsid w:val="003A28F5"/>
    <w:rsid w:val="003B1146"/>
    <w:rsid w:val="003C1558"/>
    <w:rsid w:val="003D0561"/>
    <w:rsid w:val="003E0AB1"/>
    <w:rsid w:val="003E1C3E"/>
    <w:rsid w:val="003F5546"/>
    <w:rsid w:val="00406F2B"/>
    <w:rsid w:val="00410163"/>
    <w:rsid w:val="00415E16"/>
    <w:rsid w:val="00471EBA"/>
    <w:rsid w:val="00473F69"/>
    <w:rsid w:val="00486FC1"/>
    <w:rsid w:val="00497109"/>
    <w:rsid w:val="004A2AE5"/>
    <w:rsid w:val="004C77D7"/>
    <w:rsid w:val="004E0E66"/>
    <w:rsid w:val="004E549F"/>
    <w:rsid w:val="004F5E6B"/>
    <w:rsid w:val="00506BE7"/>
    <w:rsid w:val="005310DC"/>
    <w:rsid w:val="00534851"/>
    <w:rsid w:val="00541BF1"/>
    <w:rsid w:val="00567207"/>
    <w:rsid w:val="0057218D"/>
    <w:rsid w:val="0057250F"/>
    <w:rsid w:val="0058133C"/>
    <w:rsid w:val="00581F25"/>
    <w:rsid w:val="00582C1A"/>
    <w:rsid w:val="0059541C"/>
    <w:rsid w:val="005B608B"/>
    <w:rsid w:val="005C6522"/>
    <w:rsid w:val="005D5A15"/>
    <w:rsid w:val="005D69DE"/>
    <w:rsid w:val="005D7475"/>
    <w:rsid w:val="005E3CBC"/>
    <w:rsid w:val="005E4E1E"/>
    <w:rsid w:val="005F4EF1"/>
    <w:rsid w:val="005F6626"/>
    <w:rsid w:val="006053D6"/>
    <w:rsid w:val="006150F3"/>
    <w:rsid w:val="00623289"/>
    <w:rsid w:val="00626A32"/>
    <w:rsid w:val="006366D8"/>
    <w:rsid w:val="00650A9C"/>
    <w:rsid w:val="00655B1F"/>
    <w:rsid w:val="00664470"/>
    <w:rsid w:val="00681230"/>
    <w:rsid w:val="006903B5"/>
    <w:rsid w:val="006A00C4"/>
    <w:rsid w:val="006B2766"/>
    <w:rsid w:val="006C1033"/>
    <w:rsid w:val="006C2066"/>
    <w:rsid w:val="006C535E"/>
    <w:rsid w:val="006D5F97"/>
    <w:rsid w:val="006E5948"/>
    <w:rsid w:val="00706275"/>
    <w:rsid w:val="0071543D"/>
    <w:rsid w:val="00721D38"/>
    <w:rsid w:val="0073291C"/>
    <w:rsid w:val="00744624"/>
    <w:rsid w:val="00753D77"/>
    <w:rsid w:val="00762001"/>
    <w:rsid w:val="00787722"/>
    <w:rsid w:val="00795028"/>
    <w:rsid w:val="00796573"/>
    <w:rsid w:val="007A3477"/>
    <w:rsid w:val="007A5CD9"/>
    <w:rsid w:val="007B3A85"/>
    <w:rsid w:val="007C0F8A"/>
    <w:rsid w:val="007C41F3"/>
    <w:rsid w:val="007C678C"/>
    <w:rsid w:val="007C69A5"/>
    <w:rsid w:val="007E5930"/>
    <w:rsid w:val="007E65D7"/>
    <w:rsid w:val="007F7395"/>
    <w:rsid w:val="00800D3C"/>
    <w:rsid w:val="00811992"/>
    <w:rsid w:val="0081483B"/>
    <w:rsid w:val="008257F5"/>
    <w:rsid w:val="008732EB"/>
    <w:rsid w:val="00875711"/>
    <w:rsid w:val="008862FD"/>
    <w:rsid w:val="00886BAE"/>
    <w:rsid w:val="00890BB1"/>
    <w:rsid w:val="00892867"/>
    <w:rsid w:val="008B2C95"/>
    <w:rsid w:val="008C2CC1"/>
    <w:rsid w:val="008C529E"/>
    <w:rsid w:val="008D499B"/>
    <w:rsid w:val="008E2CD9"/>
    <w:rsid w:val="008E6CC0"/>
    <w:rsid w:val="008F6629"/>
    <w:rsid w:val="00901715"/>
    <w:rsid w:val="009019F3"/>
    <w:rsid w:val="009079FA"/>
    <w:rsid w:val="00914F48"/>
    <w:rsid w:val="00917ACA"/>
    <w:rsid w:val="009269E0"/>
    <w:rsid w:val="00952DFD"/>
    <w:rsid w:val="00965204"/>
    <w:rsid w:val="00971492"/>
    <w:rsid w:val="00976954"/>
    <w:rsid w:val="0099441F"/>
    <w:rsid w:val="009B5A39"/>
    <w:rsid w:val="009B6990"/>
    <w:rsid w:val="009C58B8"/>
    <w:rsid w:val="009D0162"/>
    <w:rsid w:val="009D1AFD"/>
    <w:rsid w:val="009E139F"/>
    <w:rsid w:val="009F0F1C"/>
    <w:rsid w:val="009F263D"/>
    <w:rsid w:val="00A05BFF"/>
    <w:rsid w:val="00A06D5B"/>
    <w:rsid w:val="00A24204"/>
    <w:rsid w:val="00A250C5"/>
    <w:rsid w:val="00A25DE7"/>
    <w:rsid w:val="00A30AD2"/>
    <w:rsid w:val="00A41CC7"/>
    <w:rsid w:val="00A4343E"/>
    <w:rsid w:val="00A6114F"/>
    <w:rsid w:val="00A634BD"/>
    <w:rsid w:val="00A71E6B"/>
    <w:rsid w:val="00A76288"/>
    <w:rsid w:val="00A81007"/>
    <w:rsid w:val="00AA6EA0"/>
    <w:rsid w:val="00AB05CF"/>
    <w:rsid w:val="00AB2E4F"/>
    <w:rsid w:val="00AB6F86"/>
    <w:rsid w:val="00AC0462"/>
    <w:rsid w:val="00AC2016"/>
    <w:rsid w:val="00AC3E85"/>
    <w:rsid w:val="00AC47A6"/>
    <w:rsid w:val="00AD16FC"/>
    <w:rsid w:val="00AE1F6E"/>
    <w:rsid w:val="00AE794F"/>
    <w:rsid w:val="00AE7B02"/>
    <w:rsid w:val="00AF7A25"/>
    <w:rsid w:val="00B055FE"/>
    <w:rsid w:val="00B06420"/>
    <w:rsid w:val="00B146A1"/>
    <w:rsid w:val="00B22229"/>
    <w:rsid w:val="00B7542C"/>
    <w:rsid w:val="00B763CD"/>
    <w:rsid w:val="00B94D77"/>
    <w:rsid w:val="00BA3993"/>
    <w:rsid w:val="00BA6F69"/>
    <w:rsid w:val="00BB269F"/>
    <w:rsid w:val="00BB6A4F"/>
    <w:rsid w:val="00BD13F1"/>
    <w:rsid w:val="00BD3D0D"/>
    <w:rsid w:val="00BE2BA5"/>
    <w:rsid w:val="00BE78B4"/>
    <w:rsid w:val="00BF73DF"/>
    <w:rsid w:val="00C250C2"/>
    <w:rsid w:val="00C529D0"/>
    <w:rsid w:val="00C571C7"/>
    <w:rsid w:val="00C82C78"/>
    <w:rsid w:val="00C93808"/>
    <w:rsid w:val="00CB5651"/>
    <w:rsid w:val="00CC1516"/>
    <w:rsid w:val="00CC4083"/>
    <w:rsid w:val="00CC52CB"/>
    <w:rsid w:val="00CC7B66"/>
    <w:rsid w:val="00CD385C"/>
    <w:rsid w:val="00CD650F"/>
    <w:rsid w:val="00CE103D"/>
    <w:rsid w:val="00CE61FA"/>
    <w:rsid w:val="00D102F4"/>
    <w:rsid w:val="00D15B24"/>
    <w:rsid w:val="00D227C3"/>
    <w:rsid w:val="00D236AF"/>
    <w:rsid w:val="00D26774"/>
    <w:rsid w:val="00D33B24"/>
    <w:rsid w:val="00D44700"/>
    <w:rsid w:val="00D61726"/>
    <w:rsid w:val="00D64265"/>
    <w:rsid w:val="00D67F35"/>
    <w:rsid w:val="00D76DD7"/>
    <w:rsid w:val="00D936FB"/>
    <w:rsid w:val="00DA29DC"/>
    <w:rsid w:val="00DC0065"/>
    <w:rsid w:val="00DD1BAE"/>
    <w:rsid w:val="00DF18C8"/>
    <w:rsid w:val="00DF6661"/>
    <w:rsid w:val="00E11B22"/>
    <w:rsid w:val="00E214E2"/>
    <w:rsid w:val="00E25A7A"/>
    <w:rsid w:val="00E36CBD"/>
    <w:rsid w:val="00E46668"/>
    <w:rsid w:val="00E67DB7"/>
    <w:rsid w:val="00E71857"/>
    <w:rsid w:val="00E81C37"/>
    <w:rsid w:val="00EB7DEF"/>
    <w:rsid w:val="00EC0154"/>
    <w:rsid w:val="00EC277F"/>
    <w:rsid w:val="00ED0C0D"/>
    <w:rsid w:val="00EF2D8E"/>
    <w:rsid w:val="00F038F7"/>
    <w:rsid w:val="00F13CE0"/>
    <w:rsid w:val="00F27F63"/>
    <w:rsid w:val="00F4136E"/>
    <w:rsid w:val="00F4147C"/>
    <w:rsid w:val="00F47226"/>
    <w:rsid w:val="00F75EC3"/>
    <w:rsid w:val="00F84BED"/>
    <w:rsid w:val="00F867F5"/>
    <w:rsid w:val="00F93D21"/>
    <w:rsid w:val="00F942A7"/>
    <w:rsid w:val="00F96EB2"/>
    <w:rsid w:val="00F97BCC"/>
    <w:rsid w:val="00FA7B77"/>
    <w:rsid w:val="00FB5F79"/>
    <w:rsid w:val="00FE6260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F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F8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3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Paglietti</dc:creator>
  <cp:lastModifiedBy>Maria Cecilia Paglietti</cp:lastModifiedBy>
  <cp:revision>4</cp:revision>
  <dcterms:created xsi:type="dcterms:W3CDTF">2020-09-16T10:51:00Z</dcterms:created>
  <dcterms:modified xsi:type="dcterms:W3CDTF">2020-09-23T07:46:00Z</dcterms:modified>
</cp:coreProperties>
</file>