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B1" w:rsidRPr="00B47C63" w:rsidRDefault="00E97DB1" w:rsidP="00E97DB1">
      <w:pPr>
        <w:jc w:val="center"/>
        <w:rPr>
          <w:b/>
          <w:smallCaps/>
        </w:rPr>
      </w:pPr>
    </w:p>
    <w:p w:rsidR="004567E4" w:rsidRPr="00B47C63" w:rsidRDefault="004567E4" w:rsidP="00E97DB1">
      <w:pPr>
        <w:jc w:val="center"/>
      </w:pPr>
    </w:p>
    <w:p w:rsidR="002459AE" w:rsidRDefault="00E97DB1" w:rsidP="002459AE">
      <w:pPr>
        <w:ind w:left="720"/>
        <w:jc w:val="center"/>
        <w:rPr>
          <w:b/>
          <w:highlight w:val="lightGray"/>
        </w:rPr>
      </w:pPr>
      <w:r w:rsidRPr="00B47C63">
        <w:rPr>
          <w:b/>
          <w:highlight w:val="lightGray"/>
        </w:rPr>
        <w:t>T</w:t>
      </w:r>
      <w:r w:rsidR="009E0B3A" w:rsidRPr="00B47C63">
        <w:rPr>
          <w:b/>
          <w:highlight w:val="lightGray"/>
        </w:rPr>
        <w:t>he “</w:t>
      </w:r>
      <w:r w:rsidR="00F26A60" w:rsidRPr="00B47C63">
        <w:rPr>
          <w:b/>
          <w:bCs/>
          <w:highlight w:val="lightGray"/>
          <w:lang w:val="en"/>
        </w:rPr>
        <w:t>shoulder surfing</w:t>
      </w:r>
      <w:r w:rsidR="004567E4" w:rsidRPr="00B47C63">
        <w:rPr>
          <w:b/>
          <w:highlight w:val="lightGray"/>
        </w:rPr>
        <w:t xml:space="preserve"> </w:t>
      </w:r>
      <w:r w:rsidR="00F26A60" w:rsidRPr="00B47C63">
        <w:rPr>
          <w:b/>
          <w:highlight w:val="lightGray"/>
        </w:rPr>
        <w:t>case</w:t>
      </w:r>
      <w:r w:rsidR="009E0B3A" w:rsidRPr="00B47C63">
        <w:rPr>
          <w:b/>
          <w:highlight w:val="lightGray"/>
        </w:rPr>
        <w:t>”</w:t>
      </w:r>
    </w:p>
    <w:p w:rsidR="00F26A60" w:rsidRPr="00B47C63" w:rsidRDefault="00E97DB1" w:rsidP="002459AE">
      <w:pPr>
        <w:ind w:left="720"/>
        <w:jc w:val="center"/>
        <w:rPr>
          <w:b/>
          <w:highlight w:val="lightGray"/>
          <w:lang w:val="en-GB"/>
        </w:rPr>
      </w:pPr>
      <w:r w:rsidRPr="00B47C63">
        <w:rPr>
          <w:b/>
          <w:highlight w:val="lightGray"/>
        </w:rPr>
        <w:t>(</w:t>
      </w:r>
      <w:r w:rsidR="00F26A60" w:rsidRPr="00B47C63">
        <w:rPr>
          <w:b/>
          <w:highlight w:val="lightGray"/>
          <w:lang w:val="en-GB"/>
        </w:rPr>
        <w:t>Fraudulent withdrawals with visual capture of PIN</w:t>
      </w:r>
    </w:p>
    <w:p w:rsidR="009E0B3A" w:rsidRPr="00B47C63" w:rsidRDefault="0043746B" w:rsidP="002459AE">
      <w:pPr>
        <w:jc w:val="center"/>
        <w:rPr>
          <w:b/>
        </w:rPr>
      </w:pPr>
      <w:r w:rsidRPr="00B47C63">
        <w:rPr>
          <w:b/>
          <w:highlight w:val="lightGray"/>
        </w:rPr>
        <w:t>C</w:t>
      </w:r>
      <w:r w:rsidR="00E97DB1" w:rsidRPr="00B47C63">
        <w:rPr>
          <w:b/>
          <w:highlight w:val="lightGray"/>
        </w:rPr>
        <w:t>ase</w:t>
      </w:r>
      <w:r w:rsidRPr="00B47C63">
        <w:rPr>
          <w:b/>
          <w:highlight w:val="lightGray"/>
        </w:rPr>
        <w:t xml:space="preserve"> – May 2019</w:t>
      </w:r>
      <w:r w:rsidR="00E97DB1" w:rsidRPr="00B47C63">
        <w:rPr>
          <w:b/>
          <w:highlight w:val="lightGray"/>
        </w:rPr>
        <w:t>)</w:t>
      </w:r>
    </w:p>
    <w:p w:rsidR="009E0B3A" w:rsidRPr="00B47C63" w:rsidRDefault="009E0B3A" w:rsidP="009E0B3A">
      <w:pPr>
        <w:jc w:val="both"/>
      </w:pPr>
    </w:p>
    <w:p w:rsidR="0043746B" w:rsidRPr="00B47C63" w:rsidRDefault="009E0B3A" w:rsidP="009E0B3A">
      <w:pPr>
        <w:jc w:val="both"/>
        <w:outlineLvl w:val="0"/>
        <w:rPr>
          <w:b/>
        </w:rPr>
      </w:pPr>
      <w:r w:rsidRPr="00B47C63">
        <w:rPr>
          <w:b/>
        </w:rPr>
        <w:t xml:space="preserve">KEYWORDS: </w:t>
      </w:r>
    </w:p>
    <w:p w:rsidR="009E0B3A" w:rsidRPr="00B47C63" w:rsidRDefault="005D04A8" w:rsidP="009E0B3A">
      <w:pPr>
        <w:jc w:val="both"/>
        <w:outlineLvl w:val="0"/>
        <w:rPr>
          <w:i/>
        </w:rPr>
      </w:pPr>
      <w:r>
        <w:rPr>
          <w:i/>
        </w:rPr>
        <w:t xml:space="preserve">PSD2 </w:t>
      </w:r>
      <w:r w:rsidRPr="005D04A8">
        <w:rPr>
          <w:i/>
          <w:iCs/>
        </w:rPr>
        <w:t>—</w:t>
      </w:r>
      <w:r w:rsidRPr="005D04A8">
        <w:rPr>
          <w:i/>
        </w:rPr>
        <w:t xml:space="preserve"> </w:t>
      </w:r>
      <w:r>
        <w:rPr>
          <w:i/>
        </w:rPr>
        <w:t>P</w:t>
      </w:r>
      <w:r w:rsidR="0043746B" w:rsidRPr="00B47C63">
        <w:rPr>
          <w:i/>
        </w:rPr>
        <w:t>ayment services</w:t>
      </w:r>
      <w:r w:rsidRPr="005D04A8">
        <w:rPr>
          <w:i/>
          <w:iCs/>
        </w:rPr>
        <w:t>—</w:t>
      </w:r>
      <w:r w:rsidRPr="005D04A8">
        <w:rPr>
          <w:i/>
        </w:rPr>
        <w:t xml:space="preserve"> </w:t>
      </w:r>
      <w:r>
        <w:rPr>
          <w:i/>
        </w:rPr>
        <w:t>C</w:t>
      </w:r>
      <w:r w:rsidR="00BD78D9" w:rsidRPr="00B47C63">
        <w:rPr>
          <w:i/>
        </w:rPr>
        <w:t>ash machine fraud (</w:t>
      </w:r>
      <w:r w:rsidR="00BD78D9" w:rsidRPr="00B47C63">
        <w:rPr>
          <w:bCs/>
          <w:i/>
          <w:lang w:val="en"/>
        </w:rPr>
        <w:t>shoulder surfing</w:t>
      </w:r>
      <w:r>
        <w:rPr>
          <w:bCs/>
          <w:i/>
          <w:lang w:val="en"/>
        </w:rPr>
        <w:t xml:space="preserve"> </w:t>
      </w:r>
      <w:r w:rsidRPr="005D04A8">
        <w:rPr>
          <w:bCs/>
          <w:i/>
          <w:iCs/>
        </w:rPr>
        <w:t>—</w:t>
      </w:r>
      <w:r>
        <w:rPr>
          <w:bCs/>
          <w:i/>
          <w:iCs/>
        </w:rPr>
        <w:t>G</w:t>
      </w:r>
      <w:proofErr w:type="spellStart"/>
      <w:r w:rsidR="00BD78D9" w:rsidRPr="00B47C63">
        <w:rPr>
          <w:i/>
          <w:lang w:val="en"/>
        </w:rPr>
        <w:t>ross</w:t>
      </w:r>
      <w:proofErr w:type="spellEnd"/>
      <w:r w:rsidR="00BD78D9" w:rsidRPr="00B47C63">
        <w:rPr>
          <w:i/>
          <w:lang w:val="en"/>
        </w:rPr>
        <w:t xml:space="preserve"> negligence in </w:t>
      </w:r>
      <w:r w:rsidR="00BD78D9" w:rsidRPr="00B47C63">
        <w:rPr>
          <w:i/>
        </w:rPr>
        <w:t xml:space="preserve">keeping the </w:t>
      </w:r>
      <w:r w:rsidR="0043746B" w:rsidRPr="00B47C63">
        <w:rPr>
          <w:i/>
        </w:rPr>
        <w:t>personalized</w:t>
      </w:r>
      <w:r w:rsidR="00BD78D9" w:rsidRPr="00B47C63">
        <w:rPr>
          <w:i/>
        </w:rPr>
        <w:t xml:space="preserve"> security credentials safe</w:t>
      </w:r>
      <w:r>
        <w:rPr>
          <w:i/>
        </w:rPr>
        <w:t xml:space="preserve"> </w:t>
      </w:r>
      <w:r w:rsidRPr="005D04A8">
        <w:rPr>
          <w:i/>
          <w:iCs/>
        </w:rPr>
        <w:t>—</w:t>
      </w:r>
      <w:r w:rsidR="002B0D7D" w:rsidRPr="00B47C63">
        <w:rPr>
          <w:i/>
        </w:rPr>
        <w:t xml:space="preserve"> </w:t>
      </w:r>
      <w:r>
        <w:rPr>
          <w:i/>
        </w:rPr>
        <w:t>B</w:t>
      </w:r>
      <w:r w:rsidR="00B47C63" w:rsidRPr="00B47C63">
        <w:rPr>
          <w:i/>
        </w:rPr>
        <w:t>urden of proof.</w:t>
      </w:r>
    </w:p>
    <w:p w:rsidR="009E0B3A" w:rsidRPr="00B47C63" w:rsidRDefault="009E0B3A" w:rsidP="009E0B3A">
      <w:pPr>
        <w:jc w:val="both"/>
        <w:rPr>
          <w:b/>
        </w:rPr>
      </w:pPr>
    </w:p>
    <w:p w:rsidR="00F26A60" w:rsidRPr="00B47C63" w:rsidRDefault="00F26A60" w:rsidP="009E0B3A">
      <w:pPr>
        <w:jc w:val="both"/>
        <w:rPr>
          <w:b/>
        </w:rPr>
      </w:pPr>
    </w:p>
    <w:p w:rsidR="009E0B3A" w:rsidRPr="00B47C63" w:rsidRDefault="009E0B3A" w:rsidP="002459AE">
      <w:pPr>
        <w:jc w:val="both"/>
        <w:outlineLvl w:val="0"/>
        <w:rPr>
          <w:b/>
        </w:rPr>
      </w:pPr>
      <w:r w:rsidRPr="00B47C63">
        <w:rPr>
          <w:b/>
        </w:rPr>
        <w:t>FACTS:</w:t>
      </w:r>
    </w:p>
    <w:p w:rsidR="004567E4" w:rsidRPr="005D04A8" w:rsidRDefault="004567E4" w:rsidP="004567E4">
      <w:pPr>
        <w:jc w:val="both"/>
        <w:rPr>
          <w:lang w:val="en-GB"/>
        </w:rPr>
      </w:pPr>
      <w:r w:rsidRPr="00B47C63">
        <w:rPr>
          <w:lang w:val="en-GB"/>
        </w:rPr>
        <w:t xml:space="preserve">Mr B states he was the victim of pickpocketing on 17/2/2017 whilst at a train station. His </w:t>
      </w:r>
      <w:r w:rsidRPr="005D04A8">
        <w:rPr>
          <w:lang w:val="en-GB"/>
        </w:rPr>
        <w:t xml:space="preserve">stolen wallet held a debit card. He notes that he had purchased train tickets from a ticket-vending machine at the station using his bank card.  </w:t>
      </w:r>
    </w:p>
    <w:p w:rsidR="004567E4" w:rsidRPr="005D04A8" w:rsidRDefault="004567E4" w:rsidP="00660FA0">
      <w:pPr>
        <w:jc w:val="both"/>
        <w:rPr>
          <w:lang w:val="en-GB"/>
        </w:rPr>
      </w:pPr>
      <w:r w:rsidRPr="005D04A8">
        <w:rPr>
          <w:lang w:val="en-GB"/>
        </w:rPr>
        <w:t xml:space="preserve">Whilst completing the transaction, he was approached by a stranger whom he believes, under the guise of providing (unsolicited) assistance, was able to capture the debit-card PIN visually as it was entered. </w:t>
      </w:r>
      <w:r w:rsidR="00660FA0" w:rsidRPr="005D04A8">
        <w:t>He is emphatic that he made sure that the PIN could not be viewed as he was typing it in.</w:t>
      </w:r>
      <w:r w:rsidR="001A3D59" w:rsidRPr="005D04A8">
        <w:t xml:space="preserve"> </w:t>
      </w:r>
      <w:r w:rsidRPr="005D04A8">
        <w:rPr>
          <w:lang w:val="en-GB"/>
        </w:rPr>
        <w:t xml:space="preserve">Thereafter, the unknown party stayed close to Mr B whilst he was at the station waiting for his train to depart. </w:t>
      </w:r>
    </w:p>
    <w:p w:rsidR="004567E4" w:rsidRPr="00B47C63" w:rsidRDefault="004567E4" w:rsidP="004567E4">
      <w:pPr>
        <w:jc w:val="both"/>
        <w:rPr>
          <w:lang w:val="en-GB"/>
        </w:rPr>
      </w:pPr>
      <w:r w:rsidRPr="005D04A8">
        <w:rPr>
          <w:lang w:val="en-GB"/>
        </w:rPr>
        <w:t>At 11:40 a.m. approximately, Mr B received alerts regarding transactions carried out fraudulently using his debit card, thereby alerting him to the theft.</w:t>
      </w:r>
      <w:r w:rsidRPr="00B47C63">
        <w:rPr>
          <w:lang w:val="en-GB"/>
        </w:rPr>
        <w:t xml:space="preserve"> </w:t>
      </w:r>
    </w:p>
    <w:p w:rsidR="004567E4" w:rsidRPr="00B47C63" w:rsidRDefault="004567E4" w:rsidP="004567E4">
      <w:pPr>
        <w:jc w:val="both"/>
        <w:rPr>
          <w:lang w:val="en-GB"/>
        </w:rPr>
      </w:pPr>
      <w:r w:rsidRPr="00B47C63">
        <w:rPr>
          <w:lang w:val="en-GB"/>
        </w:rPr>
        <w:t xml:space="preserve">After quickly cancelling the card, he headed to his bank and discovered that two (2) withdrawals had been made using his debit card. He vehemently denies keeping his PIN along with his card. </w:t>
      </w:r>
    </w:p>
    <w:p w:rsidR="004567E4" w:rsidRPr="00B47C63" w:rsidRDefault="004567E4" w:rsidP="004567E4">
      <w:pPr>
        <w:jc w:val="both"/>
        <w:rPr>
          <w:lang w:val="en-GB"/>
        </w:rPr>
      </w:pPr>
    </w:p>
    <w:p w:rsidR="004567E4" w:rsidRPr="00B47C63" w:rsidRDefault="004567E4" w:rsidP="004567E4">
      <w:pPr>
        <w:jc w:val="both"/>
        <w:rPr>
          <w:i/>
          <w:lang w:val="en-GB"/>
        </w:rPr>
      </w:pPr>
      <w:r w:rsidRPr="00B47C63">
        <w:rPr>
          <w:i/>
          <w:lang w:val="en-GB"/>
        </w:rPr>
        <w:t>He asked for the fraudulent withdrawals to be reimbursed, but the bank rejected his request.</w:t>
      </w:r>
    </w:p>
    <w:p w:rsidR="00E62221" w:rsidRPr="00B47C63" w:rsidRDefault="00E62221" w:rsidP="009E0B3A">
      <w:pPr>
        <w:jc w:val="both"/>
        <w:rPr>
          <w:lang w:val="en-GB"/>
        </w:rPr>
      </w:pPr>
    </w:p>
    <w:p w:rsidR="009E0B3A" w:rsidRPr="002459AE" w:rsidRDefault="009E0B3A" w:rsidP="009E0B3A">
      <w:pPr>
        <w:jc w:val="both"/>
      </w:pPr>
      <w:r w:rsidRPr="00B47C63">
        <w:rPr>
          <w:b/>
        </w:rPr>
        <w:t>LEGAL ANALYSIS:</w:t>
      </w:r>
    </w:p>
    <w:p w:rsidR="004567E4" w:rsidRPr="00B47C63" w:rsidRDefault="009E0B3A" w:rsidP="009E0B3A">
      <w:pPr>
        <w:jc w:val="both"/>
      </w:pPr>
      <w:r w:rsidRPr="00B47C63">
        <w:t xml:space="preserve">In that case, </w:t>
      </w:r>
      <w:r w:rsidR="00C94E8E" w:rsidRPr="00B47C63">
        <w:t>the client said he was a victim of shoulder s</w:t>
      </w:r>
      <w:r w:rsidR="007C5582" w:rsidRPr="00B47C63">
        <w:t>u</w:t>
      </w:r>
      <w:r w:rsidR="00C94E8E" w:rsidRPr="00B47C63">
        <w:t xml:space="preserve">rfing, a type of data theft where </w:t>
      </w:r>
      <w:r w:rsidR="00FF1EB0" w:rsidRPr="00B47C63">
        <w:t>the attacker uses observation techniques to</w:t>
      </w:r>
      <w:r w:rsidR="00C94E8E" w:rsidRPr="00B47C63">
        <w:t xml:space="preserve"> steal personal informat</w:t>
      </w:r>
      <w:r w:rsidR="00FF1EB0" w:rsidRPr="00B47C63">
        <w:t xml:space="preserve">ion or confidential information. </w:t>
      </w:r>
      <w:r w:rsidR="00FE5C93" w:rsidRPr="00B47C63">
        <w:t xml:space="preserve">He </w:t>
      </w:r>
      <w:r w:rsidR="007C5582" w:rsidRPr="00B47C63">
        <w:t xml:space="preserve">admitted of being approached and provided by </w:t>
      </w:r>
      <w:proofErr w:type="gramStart"/>
      <w:r w:rsidR="007C5582" w:rsidRPr="00B47C63">
        <w:t>a</w:t>
      </w:r>
      <w:proofErr w:type="gramEnd"/>
      <w:r w:rsidR="007C5582" w:rsidRPr="00B47C63">
        <w:t xml:space="preserve"> unsolicited a</w:t>
      </w:r>
      <w:r w:rsidR="00FE5C93" w:rsidRPr="00B47C63">
        <w:t>ssistance.</w:t>
      </w:r>
      <w:r w:rsidR="007C5582" w:rsidRPr="00B47C63">
        <w:t xml:space="preserve"> </w:t>
      </w:r>
    </w:p>
    <w:p w:rsidR="00512A46" w:rsidRPr="00B47C63" w:rsidRDefault="001F48FD" w:rsidP="009E0B3A">
      <w:pPr>
        <w:jc w:val="both"/>
      </w:pPr>
      <w:r w:rsidRPr="00B47C63">
        <w:t xml:space="preserve">At the same time, the financial intermediary must demonstrate – according to the provisions of the law – </w:t>
      </w:r>
      <w:proofErr w:type="gramStart"/>
      <w:r w:rsidRPr="00B47C63">
        <w:t>both the</w:t>
      </w:r>
      <w:proofErr w:type="gramEnd"/>
      <w:r w:rsidRPr="00B47C63">
        <w:t xml:space="preserve"> authentication, the correct registration and the accounting for the payment transactions under dispute, and the absence of malfunctions in the computerized procedures; it must also prove the gross negligence of the payment card holder.</w:t>
      </w:r>
    </w:p>
    <w:p w:rsidR="001F48FD" w:rsidRPr="00B47C63" w:rsidRDefault="001F48FD" w:rsidP="009E0B3A">
      <w:pPr>
        <w:jc w:val="both"/>
      </w:pPr>
    </w:p>
    <w:p w:rsidR="009E0B3A" w:rsidRPr="00B47C63" w:rsidRDefault="009E0B3A" w:rsidP="009E0B3A">
      <w:pPr>
        <w:pStyle w:val="Paragrafoelenco"/>
        <w:numPr>
          <w:ilvl w:val="0"/>
          <w:numId w:val="2"/>
        </w:numPr>
        <w:jc w:val="both"/>
        <w:rPr>
          <w:rFonts w:cs="Times New Roman"/>
          <w:b/>
        </w:rPr>
      </w:pPr>
      <w:r w:rsidRPr="00B47C63">
        <w:rPr>
          <w:rFonts w:cs="Times New Roman"/>
          <w:b/>
        </w:rPr>
        <w:t>Legal provisions with specific reference to EU directive when applying:</w:t>
      </w:r>
    </w:p>
    <w:p w:rsidR="00312C9C" w:rsidRPr="00312C9C" w:rsidRDefault="0043746B" w:rsidP="00312C9C">
      <w:pPr>
        <w:jc w:val="both"/>
        <w:rPr>
          <w:rFonts w:eastAsia="Calibri" w:cs="Times New Roman"/>
          <w:bCs/>
        </w:rPr>
      </w:pPr>
      <w:proofErr w:type="spellStart"/>
      <w:proofErr w:type="gramStart"/>
      <w:r w:rsidRPr="0043746B">
        <w:rPr>
          <w:rFonts w:eastAsia="Calibri" w:cs="Times New Roman"/>
        </w:rPr>
        <w:t>Artt</w:t>
      </w:r>
      <w:proofErr w:type="spellEnd"/>
      <w:r w:rsidRPr="0043746B">
        <w:rPr>
          <w:rFonts w:eastAsia="Calibri" w:cs="Times New Roman"/>
        </w:rPr>
        <w:t>.</w:t>
      </w:r>
      <w:proofErr w:type="gramEnd"/>
      <w:r w:rsidRPr="0043746B">
        <w:rPr>
          <w:rFonts w:eastAsia="Calibri" w:cs="Times New Roman"/>
        </w:rPr>
        <w:t xml:space="preserve"> 69, par. 1, </w:t>
      </w:r>
      <w:proofErr w:type="spellStart"/>
      <w:r w:rsidRPr="0043746B">
        <w:rPr>
          <w:rFonts w:eastAsia="Calibri" w:cs="Times New Roman"/>
        </w:rPr>
        <w:t>lett</w:t>
      </w:r>
      <w:proofErr w:type="spellEnd"/>
      <w:r w:rsidRPr="0043746B">
        <w:rPr>
          <w:rFonts w:eastAsia="Calibri" w:cs="Times New Roman"/>
        </w:rPr>
        <w:t xml:space="preserve"> a) and b) and 70, par. 1, </w:t>
      </w:r>
      <w:proofErr w:type="spellStart"/>
      <w:r w:rsidRPr="0043746B">
        <w:rPr>
          <w:rFonts w:eastAsia="Calibri" w:cs="Times New Roman"/>
        </w:rPr>
        <w:t>lett</w:t>
      </w:r>
      <w:proofErr w:type="spellEnd"/>
      <w:r w:rsidRPr="0043746B">
        <w:rPr>
          <w:rFonts w:eastAsia="Calibri" w:cs="Times New Roman"/>
        </w:rPr>
        <w:t xml:space="preserve"> c), </w:t>
      </w:r>
      <w:r w:rsidR="005D04A8">
        <w:rPr>
          <w:rFonts w:eastAsia="Calibri" w:cs="Times New Roman"/>
        </w:rPr>
        <w:t xml:space="preserve">of </w:t>
      </w:r>
      <w:r w:rsidR="005D04A8" w:rsidRPr="005D04A8">
        <w:rPr>
          <w:rFonts w:eastAsia="Calibri" w:cs="Times New Roman"/>
          <w:bCs/>
        </w:rPr>
        <w:t>Directive (EU) 2015/2366 of the European Parliament and of the Council of 25 November 2015 on payment services in the internal market (PSD2)</w:t>
      </w:r>
      <w:r w:rsidR="005D04A8" w:rsidRPr="005D04A8">
        <w:rPr>
          <w:rFonts w:eastAsia="Calibri" w:cs="Times New Roman"/>
        </w:rPr>
        <w:t xml:space="preserve">; </w:t>
      </w:r>
      <w:proofErr w:type="spellStart"/>
      <w:r w:rsidRPr="0043746B">
        <w:rPr>
          <w:rFonts w:eastAsia="Calibri" w:cs="Times New Roman"/>
        </w:rPr>
        <w:t>artt</w:t>
      </w:r>
      <w:proofErr w:type="spellEnd"/>
      <w:r w:rsidRPr="0043746B">
        <w:rPr>
          <w:rFonts w:eastAsia="Calibri" w:cs="Times New Roman"/>
        </w:rPr>
        <w:t xml:space="preserve">. 7, </w:t>
      </w:r>
      <w:r w:rsidR="005D04A8">
        <w:rPr>
          <w:rFonts w:eastAsia="Calibri" w:cs="Times New Roman"/>
        </w:rPr>
        <w:t xml:space="preserve">par </w:t>
      </w:r>
      <w:r w:rsidRPr="0043746B">
        <w:rPr>
          <w:rFonts w:eastAsia="Calibri" w:cs="Times New Roman"/>
        </w:rPr>
        <w:t xml:space="preserve">1, </w:t>
      </w:r>
      <w:proofErr w:type="spellStart"/>
      <w:proofErr w:type="gramStart"/>
      <w:r w:rsidRPr="0043746B">
        <w:rPr>
          <w:rFonts w:eastAsia="Calibri" w:cs="Times New Roman"/>
        </w:rPr>
        <w:t>lett</w:t>
      </w:r>
      <w:proofErr w:type="spellEnd"/>
      <w:proofErr w:type="gramEnd"/>
      <w:r w:rsidRPr="0043746B">
        <w:rPr>
          <w:rFonts w:eastAsia="Calibri" w:cs="Times New Roman"/>
        </w:rPr>
        <w:t xml:space="preserve">. a) </w:t>
      </w:r>
      <w:proofErr w:type="gramStart"/>
      <w:r w:rsidRPr="0043746B">
        <w:rPr>
          <w:rFonts w:eastAsia="Calibri" w:cs="Times New Roman"/>
        </w:rPr>
        <w:t>and</w:t>
      </w:r>
      <w:proofErr w:type="gramEnd"/>
      <w:r w:rsidRPr="0043746B">
        <w:rPr>
          <w:rFonts w:eastAsia="Calibri" w:cs="Times New Roman"/>
        </w:rPr>
        <w:t xml:space="preserve"> </w:t>
      </w:r>
      <w:r w:rsidR="005D04A8">
        <w:rPr>
          <w:rFonts w:eastAsia="Calibri" w:cs="Times New Roman"/>
        </w:rPr>
        <w:t xml:space="preserve">par </w:t>
      </w:r>
      <w:r w:rsidRPr="0043746B">
        <w:rPr>
          <w:rFonts w:eastAsia="Calibri" w:cs="Times New Roman"/>
        </w:rPr>
        <w:t>2,</w:t>
      </w:r>
      <w:r w:rsidRPr="00B47C63">
        <w:rPr>
          <w:rFonts w:eastAsia="Calibri" w:cs="Times New Roman"/>
        </w:rPr>
        <w:t xml:space="preserve"> and 8 Italian </w:t>
      </w:r>
      <w:r w:rsidR="00312C9C" w:rsidRPr="00312C9C">
        <w:rPr>
          <w:rFonts w:eastAsia="Calibri" w:cs="Times New Roman"/>
          <w:bCs/>
        </w:rPr>
        <w:t>Legislative decree, 15 December 2017, n. 218, implementing Directive (EU) 2015/2366 on payment services in the internal market.</w:t>
      </w:r>
    </w:p>
    <w:p w:rsidR="009E0B3A" w:rsidRPr="00B47C63" w:rsidRDefault="009E0B3A" w:rsidP="009E0B3A">
      <w:pPr>
        <w:jc w:val="both"/>
        <w:rPr>
          <w:rFonts w:eastAsia="Calibri" w:cs="Times New Roman"/>
        </w:rPr>
      </w:pPr>
    </w:p>
    <w:p w:rsidR="009E0B3A" w:rsidRPr="00B47C63" w:rsidRDefault="009E0B3A" w:rsidP="009E0B3A">
      <w:pPr>
        <w:jc w:val="both"/>
        <w:rPr>
          <w:rFonts w:cs="Times New Roman"/>
          <w:i/>
        </w:rPr>
      </w:pPr>
    </w:p>
    <w:p w:rsidR="004567E4" w:rsidRPr="00B47C63" w:rsidRDefault="004567E4" w:rsidP="009E0B3A">
      <w:pPr>
        <w:jc w:val="both"/>
        <w:rPr>
          <w:rFonts w:cs="Times New Roman"/>
          <w:i/>
        </w:rPr>
      </w:pPr>
    </w:p>
    <w:p w:rsidR="009E0B3A" w:rsidRPr="00B47C63" w:rsidRDefault="009E0B3A" w:rsidP="009E0B3A">
      <w:pPr>
        <w:jc w:val="both"/>
        <w:rPr>
          <w:rFonts w:cs="Times New Roman"/>
        </w:rPr>
      </w:pPr>
      <w:r w:rsidRPr="00B47C63">
        <w:rPr>
          <w:rFonts w:cs="Times New Roman"/>
          <w:b/>
        </w:rPr>
        <w:lastRenderedPageBreak/>
        <w:t>LEGAL SOLUTION:</w:t>
      </w:r>
      <w:r w:rsidRPr="00B47C63">
        <w:rPr>
          <w:rFonts w:cs="Times New Roman"/>
        </w:rPr>
        <w:t xml:space="preserve"> </w:t>
      </w:r>
    </w:p>
    <w:p w:rsidR="0052143A" w:rsidRPr="00D45187" w:rsidRDefault="00660FA0" w:rsidP="0052143A">
      <w:pPr>
        <w:jc w:val="both"/>
        <w:rPr>
          <w:rFonts w:cs="Times New Roman"/>
        </w:rPr>
      </w:pPr>
      <w:r w:rsidRPr="00D45187">
        <w:t xml:space="preserve">This case required a determination of whether the client used the requisite degree of care with respect to safeguarding his or her PIN for a debit or credit device (Art. 7, Legislative Decree no. 11/2010). The </w:t>
      </w:r>
      <w:proofErr w:type="spellStart"/>
      <w:r w:rsidR="00D45187" w:rsidRPr="00D45187">
        <w:rPr>
          <w:iCs/>
        </w:rPr>
        <w:t>Arbitro</w:t>
      </w:r>
      <w:proofErr w:type="spellEnd"/>
      <w:r w:rsidR="00D45187" w:rsidRPr="00D45187">
        <w:rPr>
          <w:iCs/>
        </w:rPr>
        <w:t xml:space="preserve"> </w:t>
      </w:r>
      <w:proofErr w:type="spellStart"/>
      <w:r w:rsidR="00D45187" w:rsidRPr="00D45187">
        <w:rPr>
          <w:iCs/>
        </w:rPr>
        <w:t>bancario</w:t>
      </w:r>
      <w:proofErr w:type="spellEnd"/>
      <w:r w:rsidR="00D45187" w:rsidRPr="00D45187">
        <w:rPr>
          <w:iCs/>
        </w:rPr>
        <w:t xml:space="preserve"> e </w:t>
      </w:r>
      <w:proofErr w:type="spellStart"/>
      <w:r w:rsidR="00D45187" w:rsidRPr="00D45187">
        <w:rPr>
          <w:iCs/>
        </w:rPr>
        <w:t>finanziario</w:t>
      </w:r>
      <w:proofErr w:type="spellEnd"/>
      <w:r w:rsidR="00D45187" w:rsidRPr="00D45187">
        <w:rPr>
          <w:iCs/>
        </w:rPr>
        <w:t xml:space="preserve"> (ABF) </w:t>
      </w:r>
      <w:r w:rsidR="0052143A" w:rsidRPr="00D45187">
        <w:rPr>
          <w:rFonts w:cs="Times New Roman"/>
        </w:rPr>
        <w:t>states</w:t>
      </w:r>
      <w:r w:rsidR="002B08DB" w:rsidRPr="00D45187">
        <w:rPr>
          <w:rFonts w:cs="Times New Roman"/>
        </w:rPr>
        <w:t xml:space="preserve"> </w:t>
      </w:r>
      <w:r w:rsidR="00D45187">
        <w:rPr>
          <w:rFonts w:cs="Times New Roman"/>
        </w:rPr>
        <w:t xml:space="preserve">that </w:t>
      </w:r>
      <w:r w:rsidR="007B43FA" w:rsidRPr="00D45187">
        <w:rPr>
          <w:rFonts w:cs="Times New Roman"/>
        </w:rPr>
        <w:t xml:space="preserve">the client admission of having being victim of shoulder surfing is </w:t>
      </w:r>
      <w:r w:rsidR="0052143A" w:rsidRPr="00D45187">
        <w:rPr>
          <w:rFonts w:cs="Times New Roman"/>
        </w:rPr>
        <w:t>not sufficient</w:t>
      </w:r>
      <w:r w:rsidR="007B43FA" w:rsidRPr="00D45187">
        <w:rPr>
          <w:rFonts w:cs="Times New Roman"/>
        </w:rPr>
        <w:t>, in itself,</w:t>
      </w:r>
      <w:r w:rsidR="0052143A" w:rsidRPr="00D45187">
        <w:rPr>
          <w:rFonts w:cs="Times New Roman"/>
        </w:rPr>
        <w:t xml:space="preserve"> to prove the gross negligence of the cardholder: the techniques for stealing personal identification codes are increasingly sophisticated and make it possible for third parties to acquire the codes through no fault o</w:t>
      </w:r>
      <w:r w:rsidR="007B43FA" w:rsidRPr="00D45187">
        <w:rPr>
          <w:rFonts w:cs="Times New Roman"/>
        </w:rPr>
        <w:t>f the customer</w:t>
      </w:r>
      <w:r w:rsidR="004369D4" w:rsidRPr="00D45187">
        <w:rPr>
          <w:rFonts w:cs="Times New Roman"/>
        </w:rPr>
        <w:t xml:space="preserve"> (</w:t>
      </w:r>
      <w:r w:rsidR="002459AE">
        <w:rPr>
          <w:rFonts w:cs="Times New Roman"/>
        </w:rPr>
        <w:t>Roma</w:t>
      </w:r>
      <w:r w:rsidR="002B08DB" w:rsidRPr="00D45187">
        <w:rPr>
          <w:rFonts w:cs="Times New Roman"/>
        </w:rPr>
        <w:t xml:space="preserve"> </w:t>
      </w:r>
      <w:r w:rsidR="00D45187" w:rsidRPr="00D45187">
        <w:rPr>
          <w:rFonts w:cs="Times New Roman"/>
        </w:rPr>
        <w:t>Panel</w:t>
      </w:r>
      <w:r w:rsidR="00D45187">
        <w:rPr>
          <w:rFonts w:cs="Times New Roman"/>
        </w:rPr>
        <w:t>,</w:t>
      </w:r>
      <w:r w:rsidR="00D45187" w:rsidRPr="00D45187">
        <w:rPr>
          <w:rFonts w:cs="Times New Roman"/>
        </w:rPr>
        <w:t xml:space="preserve"> </w:t>
      </w:r>
      <w:proofErr w:type="spellStart"/>
      <w:r w:rsidR="002B08DB" w:rsidRPr="00D45187">
        <w:rPr>
          <w:rFonts w:cs="Times New Roman"/>
        </w:rPr>
        <w:t>dec.</w:t>
      </w:r>
      <w:proofErr w:type="spellEnd"/>
      <w:r w:rsidR="002B08DB" w:rsidRPr="00D45187">
        <w:rPr>
          <w:rFonts w:cs="Times New Roman"/>
        </w:rPr>
        <w:t xml:space="preserve"> 23/2015)</w:t>
      </w:r>
      <w:r w:rsidR="006273C3" w:rsidRPr="00D45187">
        <w:rPr>
          <w:rFonts w:cs="Times New Roman"/>
        </w:rPr>
        <w:t>.</w:t>
      </w:r>
    </w:p>
    <w:p w:rsidR="00660FA0" w:rsidRPr="00D45187" w:rsidRDefault="006273C3" w:rsidP="00660FA0">
      <w:pPr>
        <w:jc w:val="both"/>
        <w:rPr>
          <w:rFonts w:cs="Times New Roman"/>
        </w:rPr>
      </w:pPr>
      <w:r w:rsidRPr="00D45187">
        <w:rPr>
          <w:rFonts w:cs="Times New Roman"/>
        </w:rPr>
        <w:t xml:space="preserve">Plus, </w:t>
      </w:r>
      <w:r w:rsidR="002B08DB" w:rsidRPr="00D45187">
        <w:rPr>
          <w:rFonts w:cs="Times New Roman"/>
        </w:rPr>
        <w:t xml:space="preserve">on our side, </w:t>
      </w:r>
      <w:r w:rsidRPr="00D45187">
        <w:rPr>
          <w:rFonts w:cs="Times New Roman"/>
        </w:rPr>
        <w:t xml:space="preserve">the client </w:t>
      </w:r>
      <w:r w:rsidR="00660FA0" w:rsidRPr="00D45187">
        <w:t xml:space="preserve">that the fraudulent use of the device was made possible by the furtive, visual retrieval of the PIN as it was entered. Proof came in the form of the actual use of the card to purchase tickets at the station. </w:t>
      </w:r>
    </w:p>
    <w:p w:rsidR="00660FA0" w:rsidRPr="00D45187" w:rsidRDefault="00660FA0" w:rsidP="00660FA0">
      <w:pPr>
        <w:jc w:val="both"/>
        <w:rPr>
          <w:rFonts w:cs="Times New Roman"/>
        </w:rPr>
      </w:pPr>
      <w:r w:rsidRPr="00D45187">
        <w:t xml:space="preserve">However, the </w:t>
      </w:r>
      <w:r w:rsidR="002459AE">
        <w:t>ABF</w:t>
      </w:r>
      <w:bookmarkStart w:id="0" w:name="_GoBack"/>
      <w:bookmarkEnd w:id="0"/>
      <w:r w:rsidRPr="00D45187">
        <w:t xml:space="preserve"> also found that the card user must take special care to keep his or her PIN secret. This is the principal line of </w:t>
      </w:r>
      <w:proofErr w:type="spellStart"/>
      <w:r w:rsidRPr="00D45187">
        <w:t>defence</w:t>
      </w:r>
      <w:proofErr w:type="spellEnd"/>
      <w:r w:rsidRPr="00D45187">
        <w:t xml:space="preserve"> against </w:t>
      </w:r>
      <w:r w:rsidR="002459AE" w:rsidRPr="00D45187">
        <w:t>unauthorized</w:t>
      </w:r>
      <w:r w:rsidRPr="00D45187">
        <w:t xml:space="preserve"> use.</w:t>
      </w:r>
    </w:p>
    <w:p w:rsidR="00DF5819" w:rsidRPr="00D45187" w:rsidRDefault="00660FA0" w:rsidP="00660FA0">
      <w:pPr>
        <w:jc w:val="both"/>
        <w:rPr>
          <w:rFonts w:cs="Times New Roman"/>
        </w:rPr>
      </w:pPr>
      <w:proofErr w:type="gramStart"/>
      <w:r w:rsidRPr="00D45187">
        <w:t xml:space="preserve">(Naples </w:t>
      </w:r>
      <w:r w:rsidR="00D45187">
        <w:t>Panel</w:t>
      </w:r>
      <w:r w:rsidRPr="00D45187">
        <w:t xml:space="preserve">, </w:t>
      </w:r>
      <w:proofErr w:type="spellStart"/>
      <w:r w:rsidR="00D45187">
        <w:t>dec.</w:t>
      </w:r>
      <w:proofErr w:type="spellEnd"/>
      <w:r w:rsidR="00D45187">
        <w:t xml:space="preserve"> </w:t>
      </w:r>
      <w:r w:rsidRPr="00D45187">
        <w:t>6848/2015).</w:t>
      </w:r>
      <w:proofErr w:type="gramEnd"/>
    </w:p>
    <w:p w:rsidR="009E0B3A" w:rsidRPr="00D45187" w:rsidRDefault="009E0B3A" w:rsidP="009E0B3A">
      <w:pPr>
        <w:jc w:val="both"/>
        <w:rPr>
          <w:rFonts w:cs="Times New Roman"/>
        </w:rPr>
      </w:pPr>
    </w:p>
    <w:p w:rsidR="004567E4" w:rsidRPr="00D45187" w:rsidRDefault="004567E4" w:rsidP="009E0B3A">
      <w:pPr>
        <w:jc w:val="both"/>
        <w:rPr>
          <w:rFonts w:cs="Times New Roman"/>
        </w:rPr>
      </w:pPr>
    </w:p>
    <w:p w:rsidR="009E0B3A" w:rsidRPr="00D45187" w:rsidRDefault="009E0B3A" w:rsidP="009E0B3A">
      <w:pPr>
        <w:jc w:val="both"/>
        <w:rPr>
          <w:rFonts w:cs="Times New Roman"/>
          <w:b/>
        </w:rPr>
      </w:pPr>
      <w:r w:rsidRPr="00D45187">
        <w:rPr>
          <w:rFonts w:cs="Times New Roman"/>
          <w:b/>
        </w:rPr>
        <w:t xml:space="preserve">SUGGESTED SOLUTION: </w:t>
      </w:r>
    </w:p>
    <w:p w:rsidR="004567E4" w:rsidRPr="00660FA0" w:rsidRDefault="00660FA0" w:rsidP="009E0B3A">
      <w:pPr>
        <w:jc w:val="both"/>
        <w:rPr>
          <w:rFonts w:cs="Times New Roman"/>
        </w:rPr>
      </w:pPr>
      <w:proofErr w:type="gramStart"/>
      <w:r w:rsidRPr="00D45187">
        <w:t>Pros and cons of the client's position.</w:t>
      </w:r>
      <w:proofErr w:type="gramEnd"/>
      <w:r w:rsidRPr="00D45187">
        <w:t xml:space="preserve"> The recommendation is to apply for a hearing before the Arbiter, emphasizing the care taken by the cardholder as they entered their PIN. Seek out any available evidence (e.g. surveillance video footage).</w:t>
      </w:r>
      <w:r>
        <w:t xml:space="preserve"> </w:t>
      </w:r>
      <w:r w:rsidR="00F82BCA" w:rsidRPr="00660FA0">
        <w:rPr>
          <w:rFonts w:cs="Times New Roman"/>
        </w:rPr>
        <w:t xml:space="preserve"> </w:t>
      </w:r>
    </w:p>
    <w:p w:rsidR="00DF5819" w:rsidRPr="00660FA0" w:rsidRDefault="00DF5819" w:rsidP="009E0B3A">
      <w:pPr>
        <w:jc w:val="both"/>
        <w:rPr>
          <w:rFonts w:cs="Times New Roman"/>
        </w:rPr>
      </w:pPr>
    </w:p>
    <w:p w:rsidR="009E0B3A" w:rsidRPr="00660FA0" w:rsidRDefault="009E0B3A" w:rsidP="009E0B3A">
      <w:pPr>
        <w:jc w:val="both"/>
        <w:rPr>
          <w:rFonts w:cs="Times New Roman"/>
        </w:rPr>
      </w:pPr>
    </w:p>
    <w:p w:rsidR="004567E4" w:rsidRPr="00660FA0" w:rsidRDefault="004567E4" w:rsidP="009E0B3A">
      <w:pPr>
        <w:jc w:val="both"/>
        <w:rPr>
          <w:rFonts w:cs="Times New Roman"/>
        </w:rPr>
      </w:pPr>
    </w:p>
    <w:p w:rsidR="009E0B3A" w:rsidRPr="00660FA0" w:rsidRDefault="009E0B3A" w:rsidP="009E0B3A">
      <w:pPr>
        <w:jc w:val="both"/>
        <w:rPr>
          <w:rFonts w:cs="Times New Roman"/>
        </w:rPr>
      </w:pPr>
    </w:p>
    <w:p w:rsidR="009E0B3A" w:rsidRPr="00660FA0" w:rsidRDefault="009E0B3A" w:rsidP="009E0B3A"/>
    <w:p w:rsidR="009E0B3A" w:rsidRPr="00660FA0" w:rsidRDefault="009E0B3A" w:rsidP="009E0B3A"/>
    <w:p w:rsidR="009E0B3A" w:rsidRPr="00660FA0" w:rsidRDefault="009E0B3A" w:rsidP="009E0B3A">
      <w:pPr>
        <w:ind w:left="360"/>
        <w:jc w:val="center"/>
      </w:pPr>
    </w:p>
    <w:p w:rsidR="006D4AC7" w:rsidRPr="00660FA0" w:rsidRDefault="006D4AC7"/>
    <w:sectPr w:rsidR="006D4AC7" w:rsidRPr="00660FA0" w:rsidSect="006D4AC7">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74" w:rsidRDefault="00D27574">
      <w:r>
        <w:separator/>
      </w:r>
    </w:p>
  </w:endnote>
  <w:endnote w:type="continuationSeparator" w:id="0">
    <w:p w:rsidR="00D27574" w:rsidRDefault="00D2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C7" w:rsidRDefault="009F0A6E" w:rsidP="006D4AC7">
    <w:pPr>
      <w:pStyle w:val="Pidipagina"/>
      <w:framePr w:wrap="none" w:vAnchor="text" w:hAnchor="margin" w:xAlign="right" w:y="1"/>
      <w:rPr>
        <w:rStyle w:val="Numeropagina"/>
      </w:rPr>
    </w:pPr>
    <w:r>
      <w:rPr>
        <w:rStyle w:val="Numeropagina"/>
      </w:rPr>
      <w:fldChar w:fldCharType="begin"/>
    </w:r>
    <w:r w:rsidR="00F54E2A">
      <w:rPr>
        <w:rStyle w:val="Numeropagina"/>
      </w:rPr>
      <w:instrText xml:space="preserve">PAGE  </w:instrText>
    </w:r>
    <w:r>
      <w:rPr>
        <w:rStyle w:val="Numeropagina"/>
      </w:rPr>
      <w:fldChar w:fldCharType="end"/>
    </w:r>
  </w:p>
  <w:p w:rsidR="006D4AC7" w:rsidRDefault="006D4AC7" w:rsidP="006D4AC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C7" w:rsidRDefault="009F0A6E" w:rsidP="006D4AC7">
    <w:pPr>
      <w:pStyle w:val="Pidipagina"/>
      <w:framePr w:wrap="none" w:vAnchor="text" w:hAnchor="margin" w:xAlign="right" w:y="1"/>
      <w:rPr>
        <w:rStyle w:val="Numeropagina"/>
      </w:rPr>
    </w:pPr>
    <w:r>
      <w:rPr>
        <w:rStyle w:val="Numeropagina"/>
      </w:rPr>
      <w:fldChar w:fldCharType="begin"/>
    </w:r>
    <w:r w:rsidR="00F54E2A">
      <w:rPr>
        <w:rStyle w:val="Numeropagina"/>
      </w:rPr>
      <w:instrText xml:space="preserve">PAGE  </w:instrText>
    </w:r>
    <w:r>
      <w:rPr>
        <w:rStyle w:val="Numeropagina"/>
      </w:rPr>
      <w:fldChar w:fldCharType="separate"/>
    </w:r>
    <w:r w:rsidR="002459AE">
      <w:rPr>
        <w:rStyle w:val="Numeropagina"/>
        <w:noProof/>
      </w:rPr>
      <w:t>2</w:t>
    </w:r>
    <w:r>
      <w:rPr>
        <w:rStyle w:val="Numeropagina"/>
      </w:rPr>
      <w:fldChar w:fldCharType="end"/>
    </w:r>
  </w:p>
  <w:p w:rsidR="006D4AC7" w:rsidRDefault="006D4AC7" w:rsidP="006D4AC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74" w:rsidRDefault="00D27574">
      <w:r>
        <w:separator/>
      </w:r>
    </w:p>
  </w:footnote>
  <w:footnote w:type="continuationSeparator" w:id="0">
    <w:p w:rsidR="00D27574" w:rsidRDefault="00D27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5pt;height:10.85pt" o:bullet="t">
        <v:imagedata r:id="rId1" o:title="Word Work File L_4"/>
      </v:shape>
    </w:pict>
  </w:numPicBullet>
  <w:abstractNum w:abstractNumId="0">
    <w:nsid w:val="36E6668D"/>
    <w:multiLevelType w:val="multilevel"/>
    <w:tmpl w:val="10085CA8"/>
    <w:lvl w:ilvl="0">
      <w:start w:val="1"/>
      <w:numFmt w:val="decimal"/>
      <w:lvlText w:val="%1)"/>
      <w:lvlJc w:val="left"/>
      <w:pPr>
        <w:ind w:left="720" w:hanging="360"/>
      </w:pPr>
      <w:rPr>
        <w:rFonts w:ascii="Quattrocento Sans" w:eastAsia="Quattrocento Sans" w:hAnsi="Quattrocento Sans" w:cs="Quattrocento Sans"/>
        <w:b/>
        <w:color w:val="212121"/>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D36C63"/>
    <w:multiLevelType w:val="hybridMultilevel"/>
    <w:tmpl w:val="E0ACB956"/>
    <w:lvl w:ilvl="0" w:tplc="92C4E4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8E4C3A"/>
    <w:multiLevelType w:val="hybridMultilevel"/>
    <w:tmpl w:val="255ECFF2"/>
    <w:lvl w:ilvl="0" w:tplc="86C0F2E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F5151E"/>
    <w:multiLevelType w:val="hybridMultilevel"/>
    <w:tmpl w:val="06B6E2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3A"/>
    <w:rsid w:val="0004738E"/>
    <w:rsid w:val="000822CE"/>
    <w:rsid w:val="0009580D"/>
    <w:rsid w:val="000C03AA"/>
    <w:rsid w:val="000E6929"/>
    <w:rsid w:val="001160CA"/>
    <w:rsid w:val="00143998"/>
    <w:rsid w:val="001448FC"/>
    <w:rsid w:val="00173D7E"/>
    <w:rsid w:val="00174C00"/>
    <w:rsid w:val="00196F4D"/>
    <w:rsid w:val="001A3D59"/>
    <w:rsid w:val="001B4CE1"/>
    <w:rsid w:val="001D69B9"/>
    <w:rsid w:val="001F48FD"/>
    <w:rsid w:val="002459AE"/>
    <w:rsid w:val="002B08DB"/>
    <w:rsid w:val="002B0D7D"/>
    <w:rsid w:val="00312C9C"/>
    <w:rsid w:val="00343E15"/>
    <w:rsid w:val="003A505D"/>
    <w:rsid w:val="003F54DD"/>
    <w:rsid w:val="004369D4"/>
    <w:rsid w:val="0043746B"/>
    <w:rsid w:val="00453E07"/>
    <w:rsid w:val="004567E4"/>
    <w:rsid w:val="004674AC"/>
    <w:rsid w:val="00512A46"/>
    <w:rsid w:val="00514C9F"/>
    <w:rsid w:val="0052143A"/>
    <w:rsid w:val="005D04A8"/>
    <w:rsid w:val="006273C3"/>
    <w:rsid w:val="00660FA0"/>
    <w:rsid w:val="006D4AC7"/>
    <w:rsid w:val="007B43FA"/>
    <w:rsid w:val="007C5582"/>
    <w:rsid w:val="007E3FC0"/>
    <w:rsid w:val="00890E94"/>
    <w:rsid w:val="008C64AF"/>
    <w:rsid w:val="00953BAB"/>
    <w:rsid w:val="009B7E4C"/>
    <w:rsid w:val="009E0929"/>
    <w:rsid w:val="009E0B3A"/>
    <w:rsid w:val="009F0A6E"/>
    <w:rsid w:val="00A25938"/>
    <w:rsid w:val="00AA2A6C"/>
    <w:rsid w:val="00AB24AA"/>
    <w:rsid w:val="00AC04C9"/>
    <w:rsid w:val="00AC747F"/>
    <w:rsid w:val="00B122B0"/>
    <w:rsid w:val="00B15A8D"/>
    <w:rsid w:val="00B47C63"/>
    <w:rsid w:val="00BA2A31"/>
    <w:rsid w:val="00BD78D9"/>
    <w:rsid w:val="00BF2CF4"/>
    <w:rsid w:val="00C85306"/>
    <w:rsid w:val="00C85620"/>
    <w:rsid w:val="00C94E8E"/>
    <w:rsid w:val="00D05E46"/>
    <w:rsid w:val="00D27574"/>
    <w:rsid w:val="00D45187"/>
    <w:rsid w:val="00D84F07"/>
    <w:rsid w:val="00D87727"/>
    <w:rsid w:val="00D945A1"/>
    <w:rsid w:val="00DA1D34"/>
    <w:rsid w:val="00DC3C84"/>
    <w:rsid w:val="00DF5819"/>
    <w:rsid w:val="00E263F3"/>
    <w:rsid w:val="00E62221"/>
    <w:rsid w:val="00E97DB1"/>
    <w:rsid w:val="00EC36A8"/>
    <w:rsid w:val="00ED07FB"/>
    <w:rsid w:val="00EF2529"/>
    <w:rsid w:val="00EF6CBA"/>
    <w:rsid w:val="00F26A60"/>
    <w:rsid w:val="00F538E0"/>
    <w:rsid w:val="00F54E2A"/>
    <w:rsid w:val="00F82BCA"/>
    <w:rsid w:val="00FE5C93"/>
    <w:rsid w:val="00FF1EB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B3A"/>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B3A"/>
    <w:pPr>
      <w:ind w:left="720"/>
      <w:contextualSpacing/>
    </w:pPr>
  </w:style>
  <w:style w:type="paragraph" w:styleId="Pidipagina">
    <w:name w:val="footer"/>
    <w:basedOn w:val="Normale"/>
    <w:link w:val="PidipaginaCarattere"/>
    <w:uiPriority w:val="99"/>
    <w:unhideWhenUsed/>
    <w:rsid w:val="009E0B3A"/>
    <w:pPr>
      <w:tabs>
        <w:tab w:val="center" w:pos="4680"/>
        <w:tab w:val="right" w:pos="9360"/>
      </w:tabs>
    </w:pPr>
  </w:style>
  <w:style w:type="character" w:customStyle="1" w:styleId="PidipaginaCarattere">
    <w:name w:val="Piè di pagina Carattere"/>
    <w:basedOn w:val="Carpredefinitoparagrafo"/>
    <w:link w:val="Pidipagina"/>
    <w:uiPriority w:val="99"/>
    <w:rsid w:val="009E0B3A"/>
    <w:rPr>
      <w:lang w:val="en-US"/>
    </w:rPr>
  </w:style>
  <w:style w:type="character" w:styleId="Numeropagina">
    <w:name w:val="page number"/>
    <w:basedOn w:val="Carpredefinitoparagrafo"/>
    <w:uiPriority w:val="99"/>
    <w:semiHidden/>
    <w:unhideWhenUsed/>
    <w:rsid w:val="009E0B3A"/>
  </w:style>
  <w:style w:type="paragraph" w:customStyle="1" w:styleId="p1">
    <w:name w:val="p1"/>
    <w:basedOn w:val="Normale"/>
    <w:rsid w:val="009E0B3A"/>
    <w:rPr>
      <w:rFonts w:ascii="Arial" w:hAnsi="Arial" w:cs="Arial"/>
      <w:sz w:val="18"/>
      <w:szCs w:val="18"/>
      <w:lang w:val="fr-FR" w:eastAsia="fr-FR"/>
    </w:rPr>
  </w:style>
  <w:style w:type="character" w:styleId="Rimandocommento">
    <w:name w:val="annotation reference"/>
    <w:basedOn w:val="Carpredefinitoparagrafo"/>
    <w:uiPriority w:val="99"/>
    <w:semiHidden/>
    <w:unhideWhenUsed/>
    <w:rsid w:val="00343E15"/>
    <w:rPr>
      <w:sz w:val="16"/>
      <w:szCs w:val="16"/>
    </w:rPr>
  </w:style>
  <w:style w:type="paragraph" w:styleId="Testocommento">
    <w:name w:val="annotation text"/>
    <w:basedOn w:val="Normale"/>
    <w:link w:val="TestocommentoCarattere"/>
    <w:uiPriority w:val="99"/>
    <w:semiHidden/>
    <w:unhideWhenUsed/>
    <w:rsid w:val="00343E15"/>
    <w:rPr>
      <w:sz w:val="20"/>
      <w:szCs w:val="20"/>
    </w:rPr>
  </w:style>
  <w:style w:type="character" w:customStyle="1" w:styleId="TestocommentoCarattere">
    <w:name w:val="Testo commento Carattere"/>
    <w:basedOn w:val="Carpredefinitoparagrafo"/>
    <w:link w:val="Testocommento"/>
    <w:uiPriority w:val="99"/>
    <w:semiHidden/>
    <w:rsid w:val="00343E1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343E15"/>
    <w:rPr>
      <w:b/>
      <w:bCs/>
    </w:rPr>
  </w:style>
  <w:style w:type="character" w:customStyle="1" w:styleId="SoggettocommentoCarattere">
    <w:name w:val="Soggetto commento Carattere"/>
    <w:basedOn w:val="TestocommentoCarattere"/>
    <w:link w:val="Soggettocommento"/>
    <w:uiPriority w:val="99"/>
    <w:semiHidden/>
    <w:rsid w:val="00343E15"/>
    <w:rPr>
      <w:b/>
      <w:bCs/>
      <w:sz w:val="20"/>
      <w:szCs w:val="20"/>
      <w:lang w:val="en-US"/>
    </w:rPr>
  </w:style>
  <w:style w:type="paragraph" w:styleId="Testofumetto">
    <w:name w:val="Balloon Text"/>
    <w:basedOn w:val="Normale"/>
    <w:link w:val="TestofumettoCarattere"/>
    <w:uiPriority w:val="99"/>
    <w:semiHidden/>
    <w:unhideWhenUsed/>
    <w:rsid w:val="00343E1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43E15"/>
    <w:rPr>
      <w:rFonts w:ascii="Times New Roman" w:hAnsi="Times New Roman" w:cs="Times New Roman"/>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B3A"/>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B3A"/>
    <w:pPr>
      <w:ind w:left="720"/>
      <w:contextualSpacing/>
    </w:pPr>
  </w:style>
  <w:style w:type="paragraph" w:styleId="Pidipagina">
    <w:name w:val="footer"/>
    <w:basedOn w:val="Normale"/>
    <w:link w:val="PidipaginaCarattere"/>
    <w:uiPriority w:val="99"/>
    <w:unhideWhenUsed/>
    <w:rsid w:val="009E0B3A"/>
    <w:pPr>
      <w:tabs>
        <w:tab w:val="center" w:pos="4680"/>
        <w:tab w:val="right" w:pos="9360"/>
      </w:tabs>
    </w:pPr>
  </w:style>
  <w:style w:type="character" w:customStyle="1" w:styleId="PidipaginaCarattere">
    <w:name w:val="Piè di pagina Carattere"/>
    <w:basedOn w:val="Carpredefinitoparagrafo"/>
    <w:link w:val="Pidipagina"/>
    <w:uiPriority w:val="99"/>
    <w:rsid w:val="009E0B3A"/>
    <w:rPr>
      <w:lang w:val="en-US"/>
    </w:rPr>
  </w:style>
  <w:style w:type="character" w:styleId="Numeropagina">
    <w:name w:val="page number"/>
    <w:basedOn w:val="Carpredefinitoparagrafo"/>
    <w:uiPriority w:val="99"/>
    <w:semiHidden/>
    <w:unhideWhenUsed/>
    <w:rsid w:val="009E0B3A"/>
  </w:style>
  <w:style w:type="paragraph" w:customStyle="1" w:styleId="p1">
    <w:name w:val="p1"/>
    <w:basedOn w:val="Normale"/>
    <w:rsid w:val="009E0B3A"/>
    <w:rPr>
      <w:rFonts w:ascii="Arial" w:hAnsi="Arial" w:cs="Arial"/>
      <w:sz w:val="18"/>
      <w:szCs w:val="18"/>
      <w:lang w:val="fr-FR" w:eastAsia="fr-FR"/>
    </w:rPr>
  </w:style>
  <w:style w:type="character" w:styleId="Rimandocommento">
    <w:name w:val="annotation reference"/>
    <w:basedOn w:val="Carpredefinitoparagrafo"/>
    <w:uiPriority w:val="99"/>
    <w:semiHidden/>
    <w:unhideWhenUsed/>
    <w:rsid w:val="00343E15"/>
    <w:rPr>
      <w:sz w:val="16"/>
      <w:szCs w:val="16"/>
    </w:rPr>
  </w:style>
  <w:style w:type="paragraph" w:styleId="Testocommento">
    <w:name w:val="annotation text"/>
    <w:basedOn w:val="Normale"/>
    <w:link w:val="TestocommentoCarattere"/>
    <w:uiPriority w:val="99"/>
    <w:semiHidden/>
    <w:unhideWhenUsed/>
    <w:rsid w:val="00343E15"/>
    <w:rPr>
      <w:sz w:val="20"/>
      <w:szCs w:val="20"/>
    </w:rPr>
  </w:style>
  <w:style w:type="character" w:customStyle="1" w:styleId="TestocommentoCarattere">
    <w:name w:val="Testo commento Carattere"/>
    <w:basedOn w:val="Carpredefinitoparagrafo"/>
    <w:link w:val="Testocommento"/>
    <w:uiPriority w:val="99"/>
    <w:semiHidden/>
    <w:rsid w:val="00343E1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343E15"/>
    <w:rPr>
      <w:b/>
      <w:bCs/>
    </w:rPr>
  </w:style>
  <w:style w:type="character" w:customStyle="1" w:styleId="SoggettocommentoCarattere">
    <w:name w:val="Soggetto commento Carattere"/>
    <w:basedOn w:val="TestocommentoCarattere"/>
    <w:link w:val="Soggettocommento"/>
    <w:uiPriority w:val="99"/>
    <w:semiHidden/>
    <w:rsid w:val="00343E15"/>
    <w:rPr>
      <w:b/>
      <w:bCs/>
      <w:sz w:val="20"/>
      <w:szCs w:val="20"/>
      <w:lang w:val="en-US"/>
    </w:rPr>
  </w:style>
  <w:style w:type="paragraph" w:styleId="Testofumetto">
    <w:name w:val="Balloon Text"/>
    <w:basedOn w:val="Normale"/>
    <w:link w:val="TestofumettoCarattere"/>
    <w:uiPriority w:val="99"/>
    <w:semiHidden/>
    <w:unhideWhenUsed/>
    <w:rsid w:val="00343E1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43E15"/>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6325">
      <w:bodyDiv w:val="1"/>
      <w:marLeft w:val="0"/>
      <w:marRight w:val="0"/>
      <w:marTop w:val="0"/>
      <w:marBottom w:val="0"/>
      <w:divBdr>
        <w:top w:val="none" w:sz="0" w:space="0" w:color="auto"/>
        <w:left w:val="none" w:sz="0" w:space="0" w:color="auto"/>
        <w:bottom w:val="none" w:sz="0" w:space="0" w:color="auto"/>
        <w:right w:val="none" w:sz="0" w:space="0" w:color="auto"/>
      </w:divBdr>
    </w:div>
    <w:div w:id="234820178">
      <w:bodyDiv w:val="1"/>
      <w:marLeft w:val="0"/>
      <w:marRight w:val="0"/>
      <w:marTop w:val="0"/>
      <w:marBottom w:val="0"/>
      <w:divBdr>
        <w:top w:val="none" w:sz="0" w:space="0" w:color="auto"/>
        <w:left w:val="none" w:sz="0" w:space="0" w:color="auto"/>
        <w:bottom w:val="none" w:sz="0" w:space="0" w:color="auto"/>
        <w:right w:val="none" w:sz="0" w:space="0" w:color="auto"/>
      </w:divBdr>
    </w:div>
    <w:div w:id="503596973">
      <w:bodyDiv w:val="1"/>
      <w:marLeft w:val="0"/>
      <w:marRight w:val="0"/>
      <w:marTop w:val="0"/>
      <w:marBottom w:val="0"/>
      <w:divBdr>
        <w:top w:val="none" w:sz="0" w:space="0" w:color="auto"/>
        <w:left w:val="none" w:sz="0" w:space="0" w:color="auto"/>
        <w:bottom w:val="none" w:sz="0" w:space="0" w:color="auto"/>
        <w:right w:val="none" w:sz="0" w:space="0" w:color="auto"/>
      </w:divBdr>
    </w:div>
    <w:div w:id="882792028">
      <w:bodyDiv w:val="1"/>
      <w:marLeft w:val="0"/>
      <w:marRight w:val="0"/>
      <w:marTop w:val="0"/>
      <w:marBottom w:val="0"/>
      <w:divBdr>
        <w:top w:val="none" w:sz="0" w:space="0" w:color="auto"/>
        <w:left w:val="none" w:sz="0" w:space="0" w:color="auto"/>
        <w:bottom w:val="none" w:sz="0" w:space="0" w:color="auto"/>
        <w:right w:val="none" w:sz="0" w:space="0" w:color="auto"/>
      </w:divBdr>
    </w:div>
    <w:div w:id="1732651631">
      <w:bodyDiv w:val="1"/>
      <w:marLeft w:val="0"/>
      <w:marRight w:val="0"/>
      <w:marTop w:val="0"/>
      <w:marBottom w:val="0"/>
      <w:divBdr>
        <w:top w:val="none" w:sz="0" w:space="0" w:color="auto"/>
        <w:left w:val="none" w:sz="0" w:space="0" w:color="auto"/>
        <w:bottom w:val="none" w:sz="0" w:space="0" w:color="auto"/>
        <w:right w:val="none" w:sz="0" w:space="0" w:color="auto"/>
      </w:divBdr>
    </w:div>
    <w:div w:id="1751534583">
      <w:bodyDiv w:val="1"/>
      <w:marLeft w:val="0"/>
      <w:marRight w:val="0"/>
      <w:marTop w:val="0"/>
      <w:marBottom w:val="0"/>
      <w:divBdr>
        <w:top w:val="none" w:sz="0" w:space="0" w:color="auto"/>
        <w:left w:val="none" w:sz="0" w:space="0" w:color="auto"/>
        <w:bottom w:val="none" w:sz="0" w:space="0" w:color="auto"/>
        <w:right w:val="none" w:sz="0" w:space="0" w:color="auto"/>
      </w:divBdr>
    </w:div>
    <w:div w:id="1851092773">
      <w:bodyDiv w:val="1"/>
      <w:marLeft w:val="0"/>
      <w:marRight w:val="0"/>
      <w:marTop w:val="0"/>
      <w:marBottom w:val="0"/>
      <w:divBdr>
        <w:top w:val="none" w:sz="0" w:space="0" w:color="auto"/>
        <w:left w:val="none" w:sz="0" w:space="0" w:color="auto"/>
        <w:bottom w:val="none" w:sz="0" w:space="0" w:color="auto"/>
        <w:right w:val="none" w:sz="0" w:space="0" w:color="auto"/>
      </w:divBdr>
    </w:div>
    <w:div w:id="1943680301">
      <w:bodyDiv w:val="1"/>
      <w:marLeft w:val="0"/>
      <w:marRight w:val="0"/>
      <w:marTop w:val="0"/>
      <w:marBottom w:val="0"/>
      <w:divBdr>
        <w:top w:val="none" w:sz="0" w:space="0" w:color="auto"/>
        <w:left w:val="none" w:sz="0" w:space="0" w:color="auto"/>
        <w:bottom w:val="none" w:sz="0" w:space="0" w:color="auto"/>
        <w:right w:val="none" w:sz="0" w:space="0" w:color="auto"/>
      </w:divBdr>
    </w:div>
    <w:div w:id="2064012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6C8B-6E10-40D3-89B4-55A10EF0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3231</Characters>
  <Application>Microsoft Office Word</Application>
  <DocSecurity>0</DocSecurity>
  <Lines>26</Lines>
  <Paragraphs>7</Paragraphs>
  <ScaleCrop>false</ScaleCrop>
  <HeadingPairs>
    <vt:vector size="6" baseType="variant">
      <vt:variant>
        <vt:lpstr>Titolo</vt:lpstr>
      </vt:variant>
      <vt:variant>
        <vt:i4>1</vt:i4>
      </vt:variant>
      <vt:variant>
        <vt:lpstr>Titre</vt:lpstr>
      </vt:variant>
      <vt:variant>
        <vt:i4>1</vt:i4>
      </vt:variant>
      <vt:variant>
        <vt:lpstr>Headings</vt:lpstr>
      </vt:variant>
      <vt:variant>
        <vt:i4>11</vt:i4>
      </vt:variant>
    </vt:vector>
  </HeadingPairs>
  <TitlesOfParts>
    <vt:vector size="13" baseType="lpstr">
      <vt:lpstr/>
      <vt:lpstr/>
      <vt:lpstr>Case name: open question (requirement of anonymous reference)</vt:lpstr>
      <vt:lpstr>Keywords: </vt:lpstr>
      <vt:lpstr>Facts: </vt:lpstr>
      <vt:lpstr>Legal analysis:</vt:lpstr>
      <vt:lpstr>Legal solution:</vt:lpstr>
      <vt:lpstr>Applied solution: </vt:lpstr>
      <vt:lpstr>Particular note:</vt:lpstr>
      <vt:lpstr>KEYWORDS: </vt:lpstr>
      <vt:lpstr/>
      <vt:lpstr>Sale contract-furniture-seller-manufacturer-default of conformity-burden of proo</vt:lpstr>
      <vt:lpstr>FACTS:</vt:lpstr>
    </vt:vector>
  </TitlesOfParts>
  <Company>Banca d'Italia</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Maria Cecilia Paglietti</cp:lastModifiedBy>
  <cp:revision>3</cp:revision>
  <dcterms:created xsi:type="dcterms:W3CDTF">2020-09-23T07:12:00Z</dcterms:created>
  <dcterms:modified xsi:type="dcterms:W3CDTF">2020-09-23T07:14:00Z</dcterms:modified>
</cp:coreProperties>
</file>